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1193" w14:textId="77777777" w:rsidR="007060FD" w:rsidRPr="00ED7D34" w:rsidRDefault="007060FD" w:rsidP="007060FD">
      <w:pPr>
        <w:ind w:left="2160"/>
        <w:rPr>
          <w:rFonts w:ascii="Avenir Book" w:eastAsiaTheme="majorEastAsia" w:hAnsi="Avenir Book" w:cstheme="majorBidi"/>
          <w:noProof/>
          <w:color w:val="274870"/>
          <w:w w:val="103"/>
          <w:sz w:val="22"/>
          <w:szCs w:val="25"/>
        </w:rPr>
      </w:pPr>
      <w:bookmarkStart w:id="0" w:name="_Toc305929018"/>
      <w:r w:rsidRPr="00ED7D34">
        <w:rPr>
          <w:rFonts w:ascii="Avenir Book" w:eastAsiaTheme="majorEastAsia" w:hAnsi="Avenir Book" w:cstheme="majorBidi"/>
          <w:noProof/>
          <w:color w:val="274870"/>
          <w:w w:val="103"/>
          <w:sz w:val="22"/>
          <w:szCs w:val="25"/>
        </w:rPr>
        <w:drawing>
          <wp:anchor distT="0" distB="0" distL="114300" distR="114300" simplePos="0" relativeHeight="251801600" behindDoc="0" locked="0" layoutInCell="1" allowOverlap="1" wp14:anchorId="76D6E368" wp14:editId="1CF1ACCC">
            <wp:simplePos x="0" y="0"/>
            <wp:positionH relativeFrom="column">
              <wp:posOffset>-5080</wp:posOffset>
            </wp:positionH>
            <wp:positionV relativeFrom="page">
              <wp:posOffset>344805</wp:posOffset>
            </wp:positionV>
            <wp:extent cx="1181100" cy="102235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C_LogoB.jpg"/>
                    <pic:cNvPicPr/>
                  </pic:nvPicPr>
                  <pic:blipFill>
                    <a:blip r:embed="rId8">
                      <a:extLst>
                        <a:ext uri="{28A0092B-C50C-407E-A947-70E740481C1C}">
                          <a14:useLocalDpi xmlns:a14="http://schemas.microsoft.com/office/drawing/2010/main" val="0"/>
                        </a:ext>
                      </a:extLst>
                    </a:blip>
                    <a:stretch>
                      <a:fillRect/>
                    </a:stretch>
                  </pic:blipFill>
                  <pic:spPr>
                    <a:xfrm>
                      <a:off x="0" y="0"/>
                      <a:ext cx="1181100" cy="1022350"/>
                    </a:xfrm>
                    <a:prstGeom prst="rect">
                      <a:avLst/>
                    </a:prstGeom>
                  </pic:spPr>
                </pic:pic>
              </a:graphicData>
            </a:graphic>
            <wp14:sizeRelH relativeFrom="page">
              <wp14:pctWidth>0</wp14:pctWidth>
            </wp14:sizeRelH>
            <wp14:sizeRelV relativeFrom="page">
              <wp14:pctHeight>0</wp14:pctHeight>
            </wp14:sizeRelV>
          </wp:anchor>
        </w:drawing>
      </w:r>
      <w:r w:rsidRPr="00ED7D34">
        <w:rPr>
          <w:rFonts w:ascii="Avenir Book" w:eastAsiaTheme="majorEastAsia" w:hAnsi="Avenir Book" w:cstheme="majorBidi"/>
          <w:noProof/>
          <w:color w:val="274870"/>
          <w:w w:val="103"/>
          <w:sz w:val="22"/>
          <w:szCs w:val="25"/>
        </w:rPr>
        <w:t xml:space="preserve">CONNECTICUT AMBULATORY </w:t>
      </w:r>
      <w:r>
        <w:rPr>
          <w:rFonts w:ascii="Avenir Book" w:eastAsiaTheme="majorEastAsia" w:hAnsi="Avenir Book" w:cstheme="majorBidi"/>
          <w:noProof/>
          <w:color w:val="274870"/>
          <w:w w:val="103"/>
          <w:sz w:val="22"/>
          <w:szCs w:val="25"/>
        </w:rPr>
        <w:t>SURGERY</w:t>
      </w:r>
      <w:r w:rsidRPr="00ED7D34">
        <w:rPr>
          <w:rFonts w:ascii="Avenir Book" w:eastAsiaTheme="majorEastAsia" w:hAnsi="Avenir Book" w:cstheme="majorBidi"/>
          <w:noProof/>
          <w:color w:val="274870"/>
          <w:w w:val="103"/>
          <w:sz w:val="22"/>
          <w:szCs w:val="25"/>
        </w:rPr>
        <w:t xml:space="preserve"> CENTERS</w:t>
      </w:r>
    </w:p>
    <w:p w14:paraId="37ADEC13" w14:textId="77777777" w:rsidR="007060FD" w:rsidRPr="00726413" w:rsidRDefault="007060FD" w:rsidP="007060FD">
      <w:pPr>
        <w:ind w:left="2160"/>
        <w:rPr>
          <w:rFonts w:ascii="Avenir Black" w:eastAsiaTheme="majorEastAsia" w:hAnsi="Avenir Black" w:cstheme="majorBidi"/>
          <w:color w:val="274870"/>
          <w:w w:val="101"/>
        </w:rPr>
      </w:pPr>
      <w:r w:rsidRPr="00726413">
        <w:rPr>
          <w:rFonts w:ascii="Avenir Black" w:eastAsiaTheme="majorEastAsia" w:hAnsi="Avenir Black" w:cstheme="majorBidi"/>
          <w:color w:val="274870"/>
          <w:w w:val="101"/>
        </w:rPr>
        <w:t>QUALITY,</w:t>
      </w:r>
      <w:r w:rsidRPr="00726413">
        <w:rPr>
          <w:rFonts w:ascii="Avenir Black" w:eastAsiaTheme="majorEastAsia" w:hAnsi="Avenir Black" w:cstheme="majorBidi"/>
          <w:color w:val="274870"/>
          <w:w w:val="101"/>
          <w:sz w:val="14"/>
        </w:rPr>
        <w:t xml:space="preserve"> </w:t>
      </w:r>
      <w:r w:rsidRPr="00726413">
        <w:rPr>
          <w:rFonts w:ascii="Avenir Black" w:eastAsiaTheme="majorEastAsia" w:hAnsi="Avenir Black" w:cstheme="majorBidi"/>
          <w:color w:val="274870"/>
          <w:w w:val="101"/>
        </w:rPr>
        <w:t>AFFORDABLE,</w:t>
      </w:r>
      <w:r w:rsidRPr="00726413">
        <w:rPr>
          <w:rFonts w:ascii="Avenir Black" w:eastAsiaTheme="majorEastAsia" w:hAnsi="Avenir Black" w:cstheme="majorBidi"/>
          <w:color w:val="274870"/>
          <w:w w:val="101"/>
          <w:sz w:val="16"/>
        </w:rPr>
        <w:t xml:space="preserve"> </w:t>
      </w:r>
      <w:r w:rsidRPr="00726413">
        <w:rPr>
          <w:rFonts w:ascii="Avenir Black" w:eastAsiaTheme="majorEastAsia" w:hAnsi="Avenir Black" w:cstheme="majorBidi"/>
          <w:color w:val="274870"/>
          <w:w w:val="101"/>
        </w:rPr>
        <w:t>ACCESSIBLE HEALTHCARE</w:t>
      </w:r>
    </w:p>
    <w:p w14:paraId="26466D2B" w14:textId="5E52F31D" w:rsidR="007060FD" w:rsidRDefault="007060FD" w:rsidP="007060FD">
      <w:pPr>
        <w:pStyle w:val="TOCHeading"/>
        <w:jc w:val="center"/>
        <w:rPr>
          <w:rFonts w:ascii="Avenir Medium" w:hAnsi="Avenir Medium"/>
          <w:bCs w:val="0"/>
          <w:color w:val="C0504D" w:themeColor="accent2"/>
        </w:rPr>
      </w:pPr>
      <w:r>
        <w:rPr>
          <w:noProof/>
          <w:color w:val="C0504D" w:themeColor="accent2"/>
        </w:rPr>
        <mc:AlternateContent>
          <mc:Choice Requires="wps">
            <w:drawing>
              <wp:anchor distT="0" distB="0" distL="114300" distR="114300" simplePos="0" relativeHeight="251800576" behindDoc="0" locked="0" layoutInCell="1" allowOverlap="1" wp14:anchorId="0569410F" wp14:editId="31F17F11">
                <wp:simplePos x="0" y="0"/>
                <wp:positionH relativeFrom="column">
                  <wp:posOffset>-402441</wp:posOffset>
                </wp:positionH>
                <wp:positionV relativeFrom="paragraph">
                  <wp:posOffset>489477</wp:posOffset>
                </wp:positionV>
                <wp:extent cx="6663055" cy="0"/>
                <wp:effectExtent l="50800" t="25400" r="67945" b="101600"/>
                <wp:wrapNone/>
                <wp:docPr id="20" name="Straight Connector 20"/>
                <wp:cNvGraphicFramePr/>
                <a:graphic xmlns:a="http://schemas.openxmlformats.org/drawingml/2006/main">
                  <a:graphicData uri="http://schemas.microsoft.com/office/word/2010/wordprocessingShape">
                    <wps:wsp>
                      <wps:cNvCnPr/>
                      <wps:spPr>
                        <a:xfrm>
                          <a:off x="0" y="0"/>
                          <a:ext cx="666305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A136619" id="Straight Connector 20"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31.7pt,38.55pt" to="492.95pt,3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" strokecolor="#9bbb59 [3206]" strokeweight="2pt">
                <v:shadow on="t" opacity="24903f" mv:blur="40000f" origin=",.5" offset="0,20000emu"/>
              </v:line>
            </w:pict>
          </mc:Fallback>
        </mc:AlternateContent>
      </w:r>
    </w:p>
    <w:p w14:paraId="67F18B5E" w14:textId="77777777" w:rsidR="00FF45A0" w:rsidRDefault="00FF45A0" w:rsidP="00FF45A0">
      <w:pPr>
        <w:pStyle w:val="Heading2"/>
        <w:spacing w:line="276" w:lineRule="auto"/>
      </w:pPr>
      <w:bookmarkStart w:id="1" w:name="_Toc305929019"/>
      <w:bookmarkEnd w:id="0"/>
      <w:r>
        <w:t>ISSUE OVERVIEW</w:t>
      </w:r>
    </w:p>
    <w:p w14:paraId="387C80AC" w14:textId="77777777" w:rsidR="00FF45A0" w:rsidRPr="00E04CD8" w:rsidRDefault="00FF45A0" w:rsidP="00FF45A0">
      <w:pPr>
        <w:pStyle w:val="Heading2"/>
        <w:spacing w:line="276" w:lineRule="auto"/>
        <w:ind w:right="-180"/>
        <w:rPr>
          <w:noProof/>
          <w:sz w:val="28"/>
          <w:szCs w:val="28"/>
        </w:rPr>
      </w:pPr>
      <w:r w:rsidRPr="00E04CD8">
        <w:rPr>
          <w:sz w:val="28"/>
          <w:szCs w:val="28"/>
        </w:rPr>
        <w:t>SB 10, An Act Concerning Revenue Items to Implement the Governor’s Budget: Connecticut’s Healthcare Provider Tax on Ambulatory Surgery Centers</w:t>
      </w:r>
    </w:p>
    <w:p w14:paraId="1B611310" w14:textId="77777777" w:rsidR="00FF45A0" w:rsidRPr="004E6755" w:rsidRDefault="00FF45A0" w:rsidP="00FF45A0">
      <w:pPr>
        <w:spacing w:line="276" w:lineRule="auto"/>
        <w:ind w:right="-180"/>
        <w:rPr>
          <w:rFonts w:ascii="Georgia" w:hAnsi="Georgia" w:cs="Cambria"/>
          <w:sz w:val="12"/>
          <w:szCs w:val="12"/>
        </w:rPr>
      </w:pPr>
    </w:p>
    <w:p w14:paraId="762518B6" w14:textId="362E2F67" w:rsidR="00FF45A0" w:rsidRDefault="00FF45A0" w:rsidP="00FF45A0">
      <w:pPr>
        <w:spacing w:line="276" w:lineRule="auto"/>
        <w:ind w:right="-180"/>
        <w:rPr>
          <w:rFonts w:ascii="Baskerville" w:hAnsi="Baskerville"/>
        </w:rPr>
      </w:pPr>
      <w:r w:rsidRPr="00C4266B">
        <w:rPr>
          <w:rFonts w:ascii="Baskerville" w:hAnsi="Baskerville"/>
        </w:rPr>
        <w:t xml:space="preserve">In 2015, the Connecticut General Assembly passed </w:t>
      </w:r>
      <w:r w:rsidR="007745AC">
        <w:rPr>
          <w:rFonts w:ascii="Baskerville" w:hAnsi="Baskerville"/>
        </w:rPr>
        <w:t>11</w:t>
      </w:r>
      <w:r w:rsidR="007745AC" w:rsidRPr="007745AC">
        <w:rPr>
          <w:rFonts w:ascii="Baskerville" w:hAnsi="Baskerville"/>
          <w:vertAlign w:val="superscript"/>
        </w:rPr>
        <w:t>th</w:t>
      </w:r>
      <w:r w:rsidRPr="007C6A28">
        <w:rPr>
          <w:rFonts w:ascii="Baskerville" w:hAnsi="Baskerville"/>
        </w:rPr>
        <w:t>-hour legislation at the cl</w:t>
      </w:r>
      <w:r>
        <w:rPr>
          <w:rFonts w:ascii="Baskerville" w:hAnsi="Baskerville"/>
        </w:rPr>
        <w:t>ose of the session that included</w:t>
      </w:r>
      <w:r w:rsidRPr="007C6A28">
        <w:rPr>
          <w:rFonts w:ascii="Baskerville" w:hAnsi="Baskerville"/>
        </w:rPr>
        <w:t xml:space="preserve"> a 6 percent gross receipts tax on </w:t>
      </w:r>
      <w:r>
        <w:rPr>
          <w:rFonts w:ascii="Baskerville" w:hAnsi="Baskerville"/>
        </w:rPr>
        <w:t>ambulatory surgery centers.</w:t>
      </w:r>
      <w:r w:rsidRPr="007C6A28">
        <w:rPr>
          <w:rFonts w:ascii="Baskerville" w:hAnsi="Baskerville"/>
        </w:rPr>
        <w:t xml:space="preserve"> </w:t>
      </w:r>
      <w:r>
        <w:rPr>
          <w:rFonts w:ascii="Baskerville" w:hAnsi="Baskerville"/>
        </w:rPr>
        <w:t xml:space="preserve">This tax translates to an effective income tax rate of 30 percent, as it does not allow for deductions for expenses, such as property, sales and use taxes. The impact of the tax is unprecedented and </w:t>
      </w:r>
      <w:r w:rsidR="0095020B">
        <w:rPr>
          <w:rFonts w:ascii="Baskerville" w:hAnsi="Baskerville"/>
        </w:rPr>
        <w:t xml:space="preserve">has </w:t>
      </w:r>
      <w:r>
        <w:rPr>
          <w:rFonts w:ascii="Baskerville" w:hAnsi="Baskerville"/>
        </w:rPr>
        <w:t xml:space="preserve">a considerable negative impact on ambulatory surgery centers across the state. </w:t>
      </w:r>
    </w:p>
    <w:p w14:paraId="0831FE66" w14:textId="77777777" w:rsidR="00FF45A0" w:rsidRDefault="00FF45A0" w:rsidP="00FF45A0">
      <w:pPr>
        <w:spacing w:line="276" w:lineRule="auto"/>
        <w:ind w:right="-180"/>
        <w:rPr>
          <w:rFonts w:ascii="Baskerville" w:hAnsi="Baskerville"/>
        </w:rPr>
      </w:pPr>
    </w:p>
    <w:p w14:paraId="00F94156" w14:textId="738BA0B8" w:rsidR="00FF45A0" w:rsidRDefault="00FF45A0" w:rsidP="00FF45A0">
      <w:pPr>
        <w:spacing w:line="276" w:lineRule="auto"/>
        <w:ind w:right="-180"/>
        <w:rPr>
          <w:rFonts w:ascii="Baskerville" w:hAnsi="Baskerville"/>
        </w:rPr>
      </w:pPr>
      <w:r>
        <w:rPr>
          <w:rFonts w:ascii="Baskerville" w:hAnsi="Baskerville"/>
        </w:rPr>
        <w:t xml:space="preserve">In its current form, this bill would impose an </w:t>
      </w:r>
      <w:r w:rsidRPr="00401FC6">
        <w:rPr>
          <w:rFonts w:ascii="Baskerville" w:hAnsi="Baskerville"/>
          <w:i/>
        </w:rPr>
        <w:t>additional</w:t>
      </w:r>
      <w:r>
        <w:rPr>
          <w:rFonts w:ascii="Baskerville" w:hAnsi="Baskerville"/>
        </w:rPr>
        <w:t xml:space="preserve"> tax of $60,000 to every ambulatory surgery center in the state by eliminating the $1 million exemption currently in the statute. </w:t>
      </w:r>
      <w:r w:rsidRPr="00EA6144">
        <w:rPr>
          <w:rFonts w:ascii="Baskerville" w:hAnsi="Baskerville"/>
        </w:rPr>
        <w:t>Unlike hospi</w:t>
      </w:r>
      <w:r>
        <w:rPr>
          <w:rFonts w:ascii="Baskerville" w:hAnsi="Baskerville"/>
        </w:rPr>
        <w:t>tals, ASCs</w:t>
      </w:r>
      <w:r w:rsidRPr="00EA6144">
        <w:rPr>
          <w:rFonts w:ascii="Baskerville" w:hAnsi="Baskerville"/>
        </w:rPr>
        <w:t xml:space="preserve"> already pay taxes </w:t>
      </w:r>
      <w:r w:rsidR="0095020B">
        <w:rPr>
          <w:rFonts w:ascii="Baskerville" w:hAnsi="Baskerville"/>
        </w:rPr>
        <w:t xml:space="preserve">like other </w:t>
      </w:r>
      <w:r w:rsidRPr="00EA6144">
        <w:rPr>
          <w:rFonts w:ascii="Baskerville" w:hAnsi="Baskerville"/>
        </w:rPr>
        <w:t xml:space="preserve">small </w:t>
      </w:r>
      <w:r>
        <w:rPr>
          <w:rFonts w:ascii="Baskerville" w:hAnsi="Baskerville"/>
        </w:rPr>
        <w:t>business</w:t>
      </w:r>
      <w:r w:rsidR="0095020B">
        <w:rPr>
          <w:rFonts w:ascii="Baskerville" w:hAnsi="Baskerville"/>
        </w:rPr>
        <w:t>es</w:t>
      </w:r>
      <w:r>
        <w:rPr>
          <w:rFonts w:ascii="Baskerville" w:hAnsi="Baskerville"/>
        </w:rPr>
        <w:t>:</w:t>
      </w:r>
      <w:r w:rsidRPr="00EA6144">
        <w:rPr>
          <w:rFonts w:ascii="Baskerville" w:hAnsi="Baskerville"/>
        </w:rPr>
        <w:t xml:space="preserve"> state income tax, sales tax,</w:t>
      </w:r>
      <w:r w:rsidR="0095020B">
        <w:rPr>
          <w:rFonts w:ascii="Baskerville" w:hAnsi="Baskerville"/>
        </w:rPr>
        <w:t xml:space="preserve"> and</w:t>
      </w:r>
      <w:r w:rsidRPr="00EA6144">
        <w:rPr>
          <w:rFonts w:ascii="Baskerville" w:hAnsi="Baskerville"/>
        </w:rPr>
        <w:t xml:space="preserve"> property tax.</w:t>
      </w:r>
      <w:r>
        <w:rPr>
          <w:rFonts w:ascii="Baskerville" w:hAnsi="Baskerville"/>
        </w:rPr>
        <w:t xml:space="preserve"> An ASC should be taxed like any other small business OR taxed like a non-profit care provider—but not both.  </w:t>
      </w:r>
    </w:p>
    <w:p w14:paraId="754C2F25" w14:textId="77777777" w:rsidR="00FF45A0" w:rsidRDefault="00FF45A0" w:rsidP="00FF45A0">
      <w:pPr>
        <w:spacing w:line="276" w:lineRule="auto"/>
        <w:ind w:right="-180"/>
        <w:rPr>
          <w:rFonts w:ascii="Baskerville" w:hAnsi="Baskerville"/>
        </w:rPr>
      </w:pPr>
    </w:p>
    <w:p w14:paraId="06B99369" w14:textId="77777777" w:rsidR="00FF45A0" w:rsidRDefault="00FF45A0" w:rsidP="00FF45A0">
      <w:pPr>
        <w:spacing w:line="276" w:lineRule="auto"/>
        <w:ind w:right="-180"/>
        <w:rPr>
          <w:rFonts w:ascii="Baskerville" w:hAnsi="Baskerville"/>
        </w:rPr>
      </w:pPr>
      <w:r w:rsidRPr="00E04CD8">
        <w:rPr>
          <w:rFonts w:ascii="Baskerville" w:hAnsi="Baskerville"/>
        </w:rPr>
        <w:t>Ambulatory surgery centers are a critical component of Connecticut’s health care delivery system and a significant economic engine for the state.</w:t>
      </w:r>
      <w:r>
        <w:rPr>
          <w:rFonts w:ascii="Baskerville" w:hAnsi="Baskerville"/>
        </w:rPr>
        <w:t xml:space="preserve"> </w:t>
      </w:r>
      <w:r w:rsidRPr="00E04CD8">
        <w:rPr>
          <w:rFonts w:ascii="Baskerville" w:hAnsi="Baskerville"/>
        </w:rPr>
        <w:t>Outpatient care centers (such as ambulatory surgery centers) have been</w:t>
      </w:r>
      <w:r>
        <w:rPr>
          <w:rFonts w:ascii="Baskerville" w:hAnsi="Baskerville"/>
        </w:rPr>
        <w:t xml:space="preserve"> </w:t>
      </w:r>
      <w:r w:rsidRPr="00E04CD8">
        <w:rPr>
          <w:rFonts w:ascii="Baskerville" w:hAnsi="Baskerville"/>
        </w:rPr>
        <w:t>projected to grow</w:t>
      </w:r>
      <w:r>
        <w:rPr>
          <w:rFonts w:ascii="Baskerville" w:hAnsi="Baskerville"/>
        </w:rPr>
        <w:t xml:space="preserve"> </w:t>
      </w:r>
      <w:r w:rsidRPr="00E04CD8">
        <w:rPr>
          <w:rFonts w:ascii="Baskerville" w:hAnsi="Baskerville"/>
        </w:rPr>
        <w:t xml:space="preserve">by more than </w:t>
      </w:r>
      <w:r w:rsidRPr="00EA6144">
        <w:rPr>
          <w:rFonts w:ascii="Baskerville" w:hAnsi="Baskerville"/>
          <w:b/>
        </w:rPr>
        <w:t>39 percent</w:t>
      </w:r>
      <w:r w:rsidRPr="00E04CD8">
        <w:rPr>
          <w:rFonts w:ascii="Baskerville" w:hAnsi="Baskerville"/>
        </w:rPr>
        <w:t xml:space="preserve"> between 2014 and 2024, according to the Connecticut </w:t>
      </w:r>
      <w:r>
        <w:rPr>
          <w:rFonts w:ascii="Baskerville" w:hAnsi="Baskerville"/>
        </w:rPr>
        <w:t xml:space="preserve">Department of Labor. </w:t>
      </w:r>
      <w:r w:rsidRPr="00E04CD8">
        <w:rPr>
          <w:rFonts w:ascii="Baskerville" w:hAnsi="Baskerville"/>
        </w:rPr>
        <w:t xml:space="preserve">Their data shows our industry has </w:t>
      </w:r>
      <w:r w:rsidRPr="00E04CD8">
        <w:rPr>
          <w:rFonts w:ascii="Baskerville" w:hAnsi="Baskerville"/>
          <w:i/>
          <w:iCs/>
        </w:rPr>
        <w:t xml:space="preserve">the highest </w:t>
      </w:r>
      <w:r w:rsidRPr="00E04CD8">
        <w:rPr>
          <w:rFonts w:ascii="Baskerville" w:hAnsi="Baskerville"/>
        </w:rPr>
        <w:t>projected growth rate of any in the state.</w:t>
      </w:r>
    </w:p>
    <w:p w14:paraId="1858D0A1" w14:textId="77777777" w:rsidR="00FF45A0" w:rsidRDefault="00FF45A0" w:rsidP="00FF45A0">
      <w:pPr>
        <w:spacing w:line="276" w:lineRule="auto"/>
        <w:ind w:right="-180"/>
        <w:rPr>
          <w:rFonts w:ascii="Baskerville" w:hAnsi="Baskerville"/>
        </w:rPr>
      </w:pPr>
    </w:p>
    <w:p w14:paraId="22486DC8" w14:textId="38930553" w:rsidR="00FF45A0" w:rsidRDefault="00FF45A0" w:rsidP="00FF45A0">
      <w:pPr>
        <w:spacing w:line="276" w:lineRule="auto"/>
        <w:ind w:right="-180"/>
        <w:rPr>
          <w:rFonts w:ascii="Baskerville" w:hAnsi="Baskerville"/>
        </w:rPr>
      </w:pPr>
      <w:r>
        <w:rPr>
          <w:rFonts w:ascii="Baskerville" w:hAnsi="Baskerville"/>
        </w:rPr>
        <w:t>If</w:t>
      </w:r>
      <w:r w:rsidRPr="00C4266B">
        <w:rPr>
          <w:rFonts w:ascii="Baskerville" w:hAnsi="Baskerville"/>
        </w:rPr>
        <w:t xml:space="preserve"> this t</w:t>
      </w:r>
      <w:r>
        <w:rPr>
          <w:rFonts w:ascii="Baskerville" w:hAnsi="Baskerville"/>
        </w:rPr>
        <w:t xml:space="preserve">ax is left in place, it </w:t>
      </w:r>
      <w:r w:rsidRPr="00C4266B">
        <w:rPr>
          <w:rFonts w:ascii="Baskerville" w:hAnsi="Baskerville"/>
        </w:rPr>
        <w:t>will push some ASCs to operate a</w:t>
      </w:r>
      <w:r>
        <w:rPr>
          <w:rFonts w:ascii="Baskerville" w:hAnsi="Baskerville"/>
        </w:rPr>
        <w:t xml:space="preserve">t a loss, resulting in potential </w:t>
      </w:r>
      <w:r w:rsidRPr="00C4266B">
        <w:rPr>
          <w:rFonts w:ascii="Baskerville" w:hAnsi="Baskerville"/>
        </w:rPr>
        <w:t>closures</w:t>
      </w:r>
      <w:r w:rsidR="0095020B">
        <w:rPr>
          <w:rFonts w:ascii="Baskerville" w:hAnsi="Baskerville"/>
        </w:rPr>
        <w:t>.</w:t>
      </w:r>
      <w:r w:rsidRPr="00C4266B">
        <w:rPr>
          <w:rFonts w:ascii="Baskerville" w:hAnsi="Baskerville"/>
        </w:rPr>
        <w:t xml:space="preserve"> </w:t>
      </w:r>
      <w:r w:rsidR="0095020B">
        <w:rPr>
          <w:rFonts w:ascii="Baskerville" w:hAnsi="Baskerville"/>
        </w:rPr>
        <w:t xml:space="preserve"> Without a viable low-cost option, </w:t>
      </w:r>
      <w:r w:rsidRPr="00C4266B">
        <w:rPr>
          <w:rFonts w:ascii="Baskerville" w:hAnsi="Baskerville"/>
        </w:rPr>
        <w:t>patients</w:t>
      </w:r>
      <w:r w:rsidR="0095020B">
        <w:rPr>
          <w:rFonts w:ascii="Baskerville" w:hAnsi="Baskerville"/>
        </w:rPr>
        <w:t xml:space="preserve"> will be forced to</w:t>
      </w:r>
      <w:r w:rsidRPr="00C4266B">
        <w:rPr>
          <w:rFonts w:ascii="Baskerville" w:hAnsi="Baskerville"/>
        </w:rPr>
        <w:t xml:space="preserve"> </w:t>
      </w:r>
      <w:r>
        <w:rPr>
          <w:rFonts w:ascii="Baskerville" w:hAnsi="Baskerville"/>
        </w:rPr>
        <w:t>seek care at</w:t>
      </w:r>
      <w:r w:rsidRPr="00C4266B">
        <w:rPr>
          <w:rFonts w:ascii="Baskerville" w:hAnsi="Baskerville"/>
        </w:rPr>
        <w:t xml:space="preserve"> </w:t>
      </w:r>
      <w:r>
        <w:rPr>
          <w:rFonts w:ascii="Baskerville" w:hAnsi="Baskerville"/>
        </w:rPr>
        <w:t>more expensive surgery settings</w:t>
      </w:r>
      <w:r w:rsidRPr="00C4266B">
        <w:rPr>
          <w:rFonts w:ascii="Baskerville" w:hAnsi="Baskerville"/>
        </w:rPr>
        <w:t>.</w:t>
      </w:r>
      <w:r>
        <w:rPr>
          <w:rFonts w:ascii="Baskerville" w:hAnsi="Baskerville"/>
        </w:rPr>
        <w:t xml:space="preserve"> </w:t>
      </w:r>
      <w:r w:rsidRPr="004B6CBC">
        <w:rPr>
          <w:rFonts w:ascii="Baskerville" w:hAnsi="Baskerville"/>
        </w:rPr>
        <w:t>S</w:t>
      </w:r>
      <w:r>
        <w:rPr>
          <w:rFonts w:ascii="Baskerville" w:hAnsi="Baskerville"/>
        </w:rPr>
        <w:t xml:space="preserve">urgery centers </w:t>
      </w:r>
      <w:r w:rsidR="0095020B">
        <w:rPr>
          <w:rFonts w:ascii="Baskerville" w:hAnsi="Baskerville"/>
        </w:rPr>
        <w:t xml:space="preserve">that remain in operation </w:t>
      </w:r>
      <w:r w:rsidRPr="004B6CBC">
        <w:rPr>
          <w:rFonts w:ascii="Baskerville" w:hAnsi="Baskerville"/>
        </w:rPr>
        <w:t xml:space="preserve">will likely </w:t>
      </w:r>
      <w:r w:rsidR="0095020B">
        <w:rPr>
          <w:rFonts w:ascii="Baskerville" w:hAnsi="Baskerville"/>
        </w:rPr>
        <w:t xml:space="preserve">be forced to </w:t>
      </w:r>
      <w:r w:rsidRPr="004B6CBC">
        <w:rPr>
          <w:rFonts w:ascii="Baskerville" w:hAnsi="Baskerville"/>
        </w:rPr>
        <w:t>cut back on the services they provide</w:t>
      </w:r>
      <w:r w:rsidR="0095020B">
        <w:rPr>
          <w:rFonts w:ascii="Baskerville" w:hAnsi="Baskerville"/>
        </w:rPr>
        <w:t xml:space="preserve"> and </w:t>
      </w:r>
      <w:r w:rsidR="007060FD">
        <w:rPr>
          <w:rFonts w:ascii="Baskerville" w:hAnsi="Baskerville"/>
        </w:rPr>
        <w:t xml:space="preserve">forgo </w:t>
      </w:r>
      <w:r w:rsidR="0095020B">
        <w:rPr>
          <w:rFonts w:ascii="Baskerville" w:hAnsi="Baskerville"/>
        </w:rPr>
        <w:t xml:space="preserve">innovations they can pursue when they are less able to invest in </w:t>
      </w:r>
      <w:r w:rsidRPr="004B6CBC">
        <w:rPr>
          <w:rFonts w:ascii="Baskerville" w:hAnsi="Baskerville"/>
        </w:rPr>
        <w:t xml:space="preserve"> new equipment and advanced technologies</w:t>
      </w:r>
      <w:r w:rsidR="0095020B">
        <w:rPr>
          <w:rFonts w:ascii="Baskerville" w:hAnsi="Baskerville"/>
        </w:rPr>
        <w:t>.</w:t>
      </w:r>
    </w:p>
    <w:p w14:paraId="4FA85B76" w14:textId="77777777" w:rsidR="00FF45A0" w:rsidRPr="008B12BB" w:rsidRDefault="00FF45A0" w:rsidP="00FF45A0">
      <w:pPr>
        <w:spacing w:line="276" w:lineRule="auto"/>
        <w:ind w:right="-180"/>
        <w:rPr>
          <w:rFonts w:ascii="Baskerville" w:hAnsi="Baskerville"/>
          <w:sz w:val="16"/>
          <w:szCs w:val="12"/>
        </w:rPr>
      </w:pPr>
    </w:p>
    <w:p w14:paraId="08C9947D" w14:textId="32676C5E" w:rsidR="00FF45A0" w:rsidRPr="00C4266B" w:rsidRDefault="00FF45A0" w:rsidP="00FF45A0">
      <w:pPr>
        <w:spacing w:line="276" w:lineRule="auto"/>
        <w:ind w:right="-180"/>
        <w:rPr>
          <w:rFonts w:ascii="Baskerville" w:hAnsi="Baskerville"/>
        </w:rPr>
      </w:pPr>
      <w:r>
        <w:rPr>
          <w:rFonts w:ascii="Baskerville" w:hAnsi="Baskerville"/>
        </w:rPr>
        <w:t>This</w:t>
      </w:r>
      <w:r w:rsidRPr="00C4266B">
        <w:rPr>
          <w:rFonts w:ascii="Baskerville" w:hAnsi="Baskerville"/>
        </w:rPr>
        <w:t xml:space="preserve"> tax will increase healthcare costs</w:t>
      </w:r>
      <w:r>
        <w:rPr>
          <w:rFonts w:ascii="Baskerville" w:hAnsi="Baskerville"/>
        </w:rPr>
        <w:t xml:space="preserve">. </w:t>
      </w:r>
      <w:r w:rsidRPr="00C4266B">
        <w:rPr>
          <w:rFonts w:ascii="Baskerville" w:hAnsi="Baskerville"/>
        </w:rPr>
        <w:t xml:space="preserve">One has only to look at the costs </w:t>
      </w:r>
      <w:r>
        <w:rPr>
          <w:rFonts w:ascii="Baskerville" w:hAnsi="Baskerville"/>
        </w:rPr>
        <w:t>of</w:t>
      </w:r>
      <w:r w:rsidRPr="00C4266B">
        <w:rPr>
          <w:rFonts w:ascii="Baskerville" w:hAnsi="Baskerville"/>
        </w:rPr>
        <w:t xml:space="preserve"> three common </w:t>
      </w:r>
      <w:r>
        <w:rPr>
          <w:rFonts w:ascii="Baskerville" w:hAnsi="Baskerville"/>
        </w:rPr>
        <w:t>procedures</w:t>
      </w:r>
      <w:r w:rsidRPr="00C4266B">
        <w:rPr>
          <w:rFonts w:ascii="Baskerville" w:hAnsi="Baskerville"/>
        </w:rPr>
        <w:t xml:space="preserve"> to see </w:t>
      </w:r>
      <w:r>
        <w:rPr>
          <w:rFonts w:ascii="Baskerville" w:hAnsi="Baskerville"/>
        </w:rPr>
        <w:t>that placing this tax burden on ASC</w:t>
      </w:r>
      <w:r w:rsidRPr="00C4266B">
        <w:rPr>
          <w:rFonts w:ascii="Baskerville" w:hAnsi="Baskerville"/>
        </w:rPr>
        <w:t>s will have unintended consequences of higher healthcare costs</w:t>
      </w:r>
      <w:r w:rsidR="0095020B">
        <w:rPr>
          <w:rFonts w:ascii="Baskerville" w:hAnsi="Baskerville"/>
        </w:rPr>
        <w:t xml:space="preserve"> if those procedures </w:t>
      </w:r>
      <w:r w:rsidR="0076730B">
        <w:rPr>
          <w:rFonts w:ascii="Baskerville" w:hAnsi="Baskerville"/>
        </w:rPr>
        <w:t>must be done in a hospital sett</w:t>
      </w:r>
      <w:bookmarkStart w:id="2" w:name="_GoBack"/>
      <w:bookmarkEnd w:id="2"/>
      <w:r w:rsidR="0095020B">
        <w:rPr>
          <w:rFonts w:ascii="Baskerville" w:hAnsi="Baskerville"/>
        </w:rPr>
        <w:t>ing</w:t>
      </w:r>
      <w:r w:rsidRPr="00C4266B">
        <w:rPr>
          <w:rFonts w:ascii="Baskerville" w:hAnsi="Baskerville"/>
        </w:rPr>
        <w:t>.</w:t>
      </w:r>
    </w:p>
    <w:p w14:paraId="385231FD" w14:textId="77777777" w:rsidR="00FF45A0" w:rsidRPr="004E6755" w:rsidRDefault="00FF45A0" w:rsidP="00FF45A0">
      <w:pPr>
        <w:pStyle w:val="ListParagraph"/>
        <w:spacing w:line="276" w:lineRule="auto"/>
        <w:ind w:right="-180"/>
        <w:rPr>
          <w:rFonts w:ascii="Baskerville" w:hAnsi="Baskerville"/>
          <w:sz w:val="12"/>
          <w:szCs w:val="12"/>
        </w:rPr>
      </w:pPr>
    </w:p>
    <w:tbl>
      <w:tblPr>
        <w:tblStyle w:val="TableGrid"/>
        <w:tblW w:w="0" w:type="auto"/>
        <w:tblLook w:val="04A0" w:firstRow="1" w:lastRow="0" w:firstColumn="1" w:lastColumn="0" w:noHBand="0" w:noVBand="1"/>
      </w:tblPr>
      <w:tblGrid>
        <w:gridCol w:w="2952"/>
        <w:gridCol w:w="2952"/>
        <w:gridCol w:w="2952"/>
      </w:tblGrid>
      <w:tr w:rsidR="00FF45A0" w:rsidRPr="00C4266B" w14:paraId="743F1697" w14:textId="77777777" w:rsidTr="00F44BD0">
        <w:tc>
          <w:tcPr>
            <w:tcW w:w="2952" w:type="dxa"/>
          </w:tcPr>
          <w:p w14:paraId="445481B0" w14:textId="77777777" w:rsidR="00FF45A0" w:rsidRPr="00C4266B" w:rsidRDefault="00FF45A0" w:rsidP="00F44BD0">
            <w:pPr>
              <w:spacing w:line="276" w:lineRule="auto"/>
              <w:ind w:right="-180"/>
              <w:jc w:val="center"/>
              <w:rPr>
                <w:rFonts w:ascii="Baskerville" w:hAnsi="Baskerville"/>
                <w:i/>
              </w:rPr>
            </w:pPr>
            <w:r w:rsidRPr="00C4266B">
              <w:rPr>
                <w:rFonts w:ascii="Baskerville" w:hAnsi="Baskerville"/>
                <w:i/>
              </w:rPr>
              <w:t>Outpatient Surgery</w:t>
            </w:r>
          </w:p>
        </w:tc>
        <w:tc>
          <w:tcPr>
            <w:tcW w:w="2952" w:type="dxa"/>
          </w:tcPr>
          <w:p w14:paraId="7900216A" w14:textId="77777777" w:rsidR="00FF45A0" w:rsidRPr="00C4266B" w:rsidRDefault="00FF45A0" w:rsidP="00F44BD0">
            <w:pPr>
              <w:spacing w:line="276" w:lineRule="auto"/>
              <w:ind w:right="-180"/>
              <w:jc w:val="center"/>
              <w:rPr>
                <w:rFonts w:ascii="Baskerville" w:hAnsi="Baskerville"/>
                <w:i/>
              </w:rPr>
            </w:pPr>
            <w:r w:rsidRPr="00C4266B">
              <w:rPr>
                <w:rFonts w:ascii="Baskerville" w:hAnsi="Baskerville"/>
                <w:i/>
              </w:rPr>
              <w:t>Avg. Hospital Cost</w:t>
            </w:r>
          </w:p>
        </w:tc>
        <w:tc>
          <w:tcPr>
            <w:tcW w:w="2952" w:type="dxa"/>
          </w:tcPr>
          <w:p w14:paraId="150ECF9A" w14:textId="77777777" w:rsidR="00FF45A0" w:rsidRPr="00C4266B" w:rsidRDefault="00FF45A0" w:rsidP="00F44BD0">
            <w:pPr>
              <w:spacing w:line="276" w:lineRule="auto"/>
              <w:ind w:right="-180"/>
              <w:jc w:val="center"/>
              <w:rPr>
                <w:rFonts w:ascii="Baskerville" w:hAnsi="Baskerville"/>
                <w:i/>
              </w:rPr>
            </w:pPr>
            <w:r w:rsidRPr="00C4266B">
              <w:rPr>
                <w:rFonts w:ascii="Baskerville" w:hAnsi="Baskerville"/>
                <w:i/>
              </w:rPr>
              <w:t>Avg. ASC Cost</w:t>
            </w:r>
          </w:p>
        </w:tc>
      </w:tr>
      <w:tr w:rsidR="00FF45A0" w:rsidRPr="00C4266B" w14:paraId="1AC95B65" w14:textId="77777777" w:rsidTr="00F44BD0">
        <w:tc>
          <w:tcPr>
            <w:tcW w:w="2952" w:type="dxa"/>
          </w:tcPr>
          <w:p w14:paraId="3352A248" w14:textId="77777777" w:rsidR="00FF45A0" w:rsidRPr="00C4266B" w:rsidRDefault="00FF45A0" w:rsidP="00F44BD0">
            <w:pPr>
              <w:spacing w:line="276" w:lineRule="auto"/>
              <w:ind w:right="-180"/>
              <w:rPr>
                <w:rFonts w:ascii="Baskerville" w:hAnsi="Baskerville"/>
              </w:rPr>
            </w:pPr>
            <w:r w:rsidRPr="00C4266B">
              <w:rPr>
                <w:rFonts w:ascii="Baskerville" w:hAnsi="Baskerville"/>
              </w:rPr>
              <w:t>Knee or Shoulder</w:t>
            </w:r>
          </w:p>
        </w:tc>
        <w:tc>
          <w:tcPr>
            <w:tcW w:w="2952" w:type="dxa"/>
          </w:tcPr>
          <w:p w14:paraId="04286EB7" w14:textId="77777777" w:rsidR="00FF45A0" w:rsidRPr="00C4266B" w:rsidRDefault="00FF45A0" w:rsidP="00F44BD0">
            <w:pPr>
              <w:spacing w:line="276" w:lineRule="auto"/>
              <w:ind w:right="-180"/>
              <w:rPr>
                <w:rFonts w:ascii="Baskerville" w:hAnsi="Baskerville"/>
              </w:rPr>
            </w:pPr>
            <w:r w:rsidRPr="00C4266B">
              <w:rPr>
                <w:rFonts w:ascii="Baskerville" w:hAnsi="Baskerville"/>
              </w:rPr>
              <w:t>$5,000</w:t>
            </w:r>
          </w:p>
        </w:tc>
        <w:tc>
          <w:tcPr>
            <w:tcW w:w="2952" w:type="dxa"/>
          </w:tcPr>
          <w:p w14:paraId="1E2C0BB2" w14:textId="77777777" w:rsidR="00FF45A0" w:rsidRPr="00C4266B" w:rsidRDefault="00FF45A0" w:rsidP="00F44BD0">
            <w:pPr>
              <w:spacing w:line="276" w:lineRule="auto"/>
              <w:ind w:right="-180"/>
              <w:rPr>
                <w:rFonts w:ascii="Baskerville" w:hAnsi="Baskerville"/>
              </w:rPr>
            </w:pPr>
            <w:r w:rsidRPr="00C4266B">
              <w:rPr>
                <w:rFonts w:ascii="Baskerville" w:hAnsi="Baskerville"/>
              </w:rPr>
              <w:t>$1,900</w:t>
            </w:r>
          </w:p>
        </w:tc>
      </w:tr>
      <w:tr w:rsidR="00FF45A0" w:rsidRPr="00C4266B" w14:paraId="0F1866A4" w14:textId="77777777" w:rsidTr="00F44BD0">
        <w:tc>
          <w:tcPr>
            <w:tcW w:w="2952" w:type="dxa"/>
          </w:tcPr>
          <w:p w14:paraId="39C40038" w14:textId="77777777" w:rsidR="00FF45A0" w:rsidRPr="00C4266B" w:rsidRDefault="00FF45A0" w:rsidP="00F44BD0">
            <w:pPr>
              <w:spacing w:line="276" w:lineRule="auto"/>
              <w:ind w:right="-180"/>
              <w:rPr>
                <w:rFonts w:ascii="Baskerville" w:hAnsi="Baskerville"/>
              </w:rPr>
            </w:pPr>
            <w:r w:rsidRPr="00C4266B">
              <w:rPr>
                <w:rFonts w:ascii="Baskerville" w:hAnsi="Baskerville"/>
              </w:rPr>
              <w:t>Endoscopy</w:t>
            </w:r>
          </w:p>
        </w:tc>
        <w:tc>
          <w:tcPr>
            <w:tcW w:w="2952" w:type="dxa"/>
          </w:tcPr>
          <w:p w14:paraId="2F49259C" w14:textId="77777777" w:rsidR="00FF45A0" w:rsidRPr="00C4266B" w:rsidRDefault="00FF45A0" w:rsidP="00F44BD0">
            <w:pPr>
              <w:spacing w:line="276" w:lineRule="auto"/>
              <w:ind w:right="-180"/>
              <w:rPr>
                <w:rFonts w:ascii="Baskerville" w:hAnsi="Baskerville"/>
              </w:rPr>
            </w:pPr>
            <w:r w:rsidRPr="00C4266B">
              <w:rPr>
                <w:rFonts w:ascii="Baskerville" w:hAnsi="Baskerville"/>
              </w:rPr>
              <w:t>$1,306</w:t>
            </w:r>
          </w:p>
        </w:tc>
        <w:tc>
          <w:tcPr>
            <w:tcW w:w="2952" w:type="dxa"/>
          </w:tcPr>
          <w:p w14:paraId="24348D2B" w14:textId="77777777" w:rsidR="00FF45A0" w:rsidRPr="00C4266B" w:rsidRDefault="00FF45A0" w:rsidP="00F44BD0">
            <w:pPr>
              <w:spacing w:line="276" w:lineRule="auto"/>
              <w:ind w:right="-180"/>
              <w:rPr>
                <w:rFonts w:ascii="Baskerville" w:hAnsi="Baskerville"/>
              </w:rPr>
            </w:pPr>
            <w:r w:rsidRPr="00C4266B">
              <w:rPr>
                <w:rFonts w:ascii="Baskerville" w:hAnsi="Baskerville"/>
              </w:rPr>
              <w:t>$634</w:t>
            </w:r>
          </w:p>
        </w:tc>
      </w:tr>
      <w:tr w:rsidR="00FF45A0" w:rsidRPr="00C4266B" w14:paraId="5C551852" w14:textId="77777777" w:rsidTr="00F44BD0">
        <w:tc>
          <w:tcPr>
            <w:tcW w:w="2952" w:type="dxa"/>
          </w:tcPr>
          <w:p w14:paraId="36266803" w14:textId="77777777" w:rsidR="00FF45A0" w:rsidRPr="00C4266B" w:rsidRDefault="00FF45A0" w:rsidP="00F44BD0">
            <w:pPr>
              <w:spacing w:line="276" w:lineRule="auto"/>
              <w:ind w:right="-180"/>
              <w:rPr>
                <w:rFonts w:ascii="Baskerville" w:hAnsi="Baskerville"/>
              </w:rPr>
            </w:pPr>
            <w:r w:rsidRPr="00C4266B">
              <w:rPr>
                <w:rFonts w:ascii="Baskerville" w:hAnsi="Baskerville"/>
              </w:rPr>
              <w:t>Colonoscopy</w:t>
            </w:r>
          </w:p>
        </w:tc>
        <w:tc>
          <w:tcPr>
            <w:tcW w:w="2952" w:type="dxa"/>
          </w:tcPr>
          <w:p w14:paraId="7A710B09" w14:textId="77777777" w:rsidR="00FF45A0" w:rsidRPr="00C4266B" w:rsidRDefault="00FF45A0" w:rsidP="00F44BD0">
            <w:pPr>
              <w:spacing w:line="276" w:lineRule="auto"/>
              <w:ind w:right="-180"/>
              <w:rPr>
                <w:rFonts w:ascii="Baskerville" w:hAnsi="Baskerville"/>
              </w:rPr>
            </w:pPr>
            <w:r w:rsidRPr="00C4266B">
              <w:rPr>
                <w:rFonts w:ascii="Baskerville" w:hAnsi="Baskerville"/>
              </w:rPr>
              <w:t>$1,611</w:t>
            </w:r>
          </w:p>
        </w:tc>
        <w:tc>
          <w:tcPr>
            <w:tcW w:w="2952" w:type="dxa"/>
          </w:tcPr>
          <w:p w14:paraId="5DC15134" w14:textId="77777777" w:rsidR="00FF45A0" w:rsidRPr="00C4266B" w:rsidRDefault="00FF45A0" w:rsidP="00F44BD0">
            <w:pPr>
              <w:spacing w:line="276" w:lineRule="auto"/>
              <w:ind w:right="-180"/>
              <w:rPr>
                <w:rFonts w:ascii="Baskerville" w:hAnsi="Baskerville"/>
              </w:rPr>
            </w:pPr>
            <w:r w:rsidRPr="00C4266B">
              <w:rPr>
                <w:rFonts w:ascii="Baskerville" w:hAnsi="Baskerville"/>
              </w:rPr>
              <w:t>$754</w:t>
            </w:r>
          </w:p>
        </w:tc>
      </w:tr>
    </w:tbl>
    <w:p w14:paraId="4792F93A" w14:textId="77777777" w:rsidR="00FF45A0" w:rsidRPr="00DD5710" w:rsidRDefault="00FF45A0" w:rsidP="00FF45A0">
      <w:pPr>
        <w:spacing w:line="276" w:lineRule="auto"/>
        <w:ind w:right="-180"/>
        <w:rPr>
          <w:rFonts w:ascii="Baskerville" w:hAnsi="Baskerville"/>
          <w:i/>
        </w:rPr>
      </w:pPr>
      <w:r w:rsidRPr="00DD5710">
        <w:rPr>
          <w:rFonts w:ascii="Baskerville" w:hAnsi="Baskerville"/>
          <w:i/>
        </w:rPr>
        <w:t xml:space="preserve">Source: </w:t>
      </w:r>
      <w:hyperlink r:id="rId9" w:history="1">
        <w:r w:rsidRPr="00DD5710">
          <w:rPr>
            <w:rStyle w:val="Hyperlink"/>
            <w:rFonts w:ascii="Baskerville" w:hAnsi="Baskerville"/>
            <w:i/>
            <w:color w:val="365F91" w:themeColor="accent1" w:themeShade="BF"/>
          </w:rPr>
          <w:t>Preferred Locations for Ambulatory Surgery Centers, Connecticut Business and Industry Association</w:t>
        </w:r>
      </w:hyperlink>
      <w:r w:rsidRPr="00DD5710">
        <w:rPr>
          <w:rFonts w:ascii="Baskerville" w:hAnsi="Baskerville"/>
          <w:i/>
          <w:color w:val="365F91" w:themeColor="accent1" w:themeShade="BF"/>
        </w:rPr>
        <w:t xml:space="preserve"> </w:t>
      </w:r>
    </w:p>
    <w:p w14:paraId="6C6FEE13" w14:textId="77777777" w:rsidR="00FF45A0" w:rsidRPr="004E6755" w:rsidRDefault="00FF45A0" w:rsidP="00FF45A0">
      <w:pPr>
        <w:spacing w:line="276" w:lineRule="auto"/>
        <w:ind w:right="-180"/>
        <w:rPr>
          <w:rFonts w:ascii="Baskerville" w:hAnsi="Baskerville"/>
          <w:sz w:val="12"/>
          <w:szCs w:val="12"/>
        </w:rPr>
      </w:pPr>
    </w:p>
    <w:p w14:paraId="1D0D3E19" w14:textId="77777777" w:rsidR="00FF45A0" w:rsidRPr="005E390D" w:rsidRDefault="00FF45A0" w:rsidP="00FF45A0">
      <w:pPr>
        <w:spacing w:line="276" w:lineRule="auto"/>
        <w:ind w:right="-180"/>
        <w:rPr>
          <w:rFonts w:ascii="Baskerville" w:hAnsi="Baskerville"/>
          <w:sz w:val="18"/>
        </w:rPr>
      </w:pPr>
    </w:p>
    <w:p w14:paraId="20140DD7" w14:textId="25DF64E9" w:rsidR="00FF45A0" w:rsidRDefault="00FF45A0" w:rsidP="00FF45A0">
      <w:pPr>
        <w:spacing w:line="276" w:lineRule="auto"/>
        <w:ind w:right="-180"/>
        <w:rPr>
          <w:rFonts w:ascii="Baskerville" w:hAnsi="Baskerville"/>
        </w:rPr>
      </w:pPr>
      <w:r w:rsidRPr="00C4266B">
        <w:rPr>
          <w:rFonts w:ascii="Baskerville" w:hAnsi="Baskerville"/>
        </w:rPr>
        <w:lastRenderedPageBreak/>
        <w:t xml:space="preserve">The Connecticut Association of Ambulatory Surgery Centers and its members are committed to providing the </w:t>
      </w:r>
      <w:r w:rsidR="0095020B">
        <w:rPr>
          <w:rFonts w:ascii="Baskerville" w:hAnsi="Baskerville"/>
        </w:rPr>
        <w:t>highest</w:t>
      </w:r>
      <w:r w:rsidR="0095020B" w:rsidRPr="00C4266B">
        <w:rPr>
          <w:rFonts w:ascii="Baskerville" w:hAnsi="Baskerville"/>
        </w:rPr>
        <w:t xml:space="preserve"> </w:t>
      </w:r>
      <w:r w:rsidRPr="00C4266B">
        <w:rPr>
          <w:rFonts w:ascii="Baskerville" w:hAnsi="Baskerville"/>
        </w:rPr>
        <w:t xml:space="preserve">quality healthcare at </w:t>
      </w:r>
      <w:r w:rsidR="0095020B">
        <w:rPr>
          <w:rFonts w:ascii="Baskerville" w:hAnsi="Baskerville"/>
        </w:rPr>
        <w:t>a</w:t>
      </w:r>
      <w:r w:rsidR="0095020B" w:rsidRPr="00C4266B">
        <w:rPr>
          <w:rFonts w:ascii="Baskerville" w:hAnsi="Baskerville"/>
        </w:rPr>
        <w:t xml:space="preserve"> lowe</w:t>
      </w:r>
      <w:r w:rsidR="0095020B">
        <w:rPr>
          <w:rFonts w:ascii="Baskerville" w:hAnsi="Baskerville"/>
        </w:rPr>
        <w:t xml:space="preserve">r </w:t>
      </w:r>
      <w:r w:rsidRPr="00C4266B">
        <w:rPr>
          <w:rFonts w:ascii="Baskerville" w:hAnsi="Baskerville"/>
        </w:rPr>
        <w:t>cost</w:t>
      </w:r>
      <w:r w:rsidR="0095020B">
        <w:rPr>
          <w:rFonts w:ascii="Baskerville" w:hAnsi="Baskerville"/>
        </w:rPr>
        <w:t>.</w:t>
      </w:r>
      <w:r w:rsidRPr="00C4266B">
        <w:rPr>
          <w:rFonts w:ascii="Baskerville" w:hAnsi="Baskerville"/>
        </w:rPr>
        <w:t xml:space="preserve"> </w:t>
      </w:r>
      <w:r w:rsidR="0095020B">
        <w:rPr>
          <w:rFonts w:ascii="Baskerville" w:hAnsi="Baskerville"/>
        </w:rPr>
        <w:t>The</w:t>
      </w:r>
      <w:r w:rsidRPr="00D515EE">
        <w:rPr>
          <w:rFonts w:ascii="Baskerville" w:hAnsi="Baskerville"/>
        </w:rPr>
        <w:t xml:space="preserve"> best thing the legislature can do to protect the growing industry of ambulatory surgical care and its significant contributions to Connecticut’s economy is to repeal the ambulatory surgery center tax.  </w:t>
      </w:r>
      <w:r w:rsidR="0095020B">
        <w:rPr>
          <w:rFonts w:ascii="Baskerville" w:hAnsi="Baskerville"/>
        </w:rPr>
        <w:t>T</w:t>
      </w:r>
      <w:r w:rsidRPr="00D515EE">
        <w:rPr>
          <w:rFonts w:ascii="Baskerville" w:hAnsi="Baskerville"/>
        </w:rPr>
        <w:t>aking into consideration the state’s fiscal situation, the immediate need is to stabilize the industry and keep</w:t>
      </w:r>
      <w:r>
        <w:rPr>
          <w:rFonts w:ascii="Baskerville" w:hAnsi="Baskerville"/>
        </w:rPr>
        <w:t xml:space="preserve"> these small businesses alive. For this </w:t>
      </w:r>
      <w:bookmarkStart w:id="3" w:name="_Toc305929023"/>
      <w:r>
        <w:rPr>
          <w:rFonts w:ascii="Baskerville" w:hAnsi="Baskerville"/>
        </w:rPr>
        <w:t>legislative session, that means:</w:t>
      </w:r>
    </w:p>
    <w:p w14:paraId="3C63B2E5" w14:textId="77777777" w:rsidR="00FF45A0" w:rsidRDefault="00FF45A0" w:rsidP="00FF45A0">
      <w:pPr>
        <w:spacing w:line="276" w:lineRule="auto"/>
        <w:ind w:right="-180"/>
        <w:rPr>
          <w:rFonts w:ascii="Baskerville" w:hAnsi="Baskerville"/>
        </w:rPr>
      </w:pPr>
    </w:p>
    <w:p w14:paraId="57D2C119" w14:textId="00A3883B" w:rsidR="00FF45A0" w:rsidRDefault="00FF45A0" w:rsidP="00882F76">
      <w:pPr>
        <w:pStyle w:val="ListParagraph"/>
        <w:numPr>
          <w:ilvl w:val="0"/>
          <w:numId w:val="38"/>
        </w:numPr>
        <w:spacing w:after="120" w:line="276" w:lineRule="auto"/>
        <w:ind w:right="-187"/>
        <w:contextualSpacing w:val="0"/>
        <w:rPr>
          <w:rFonts w:ascii="Baskerville" w:hAnsi="Baskerville"/>
        </w:rPr>
      </w:pPr>
      <w:r>
        <w:rPr>
          <w:rFonts w:ascii="Baskerville" w:hAnsi="Baskerville"/>
        </w:rPr>
        <w:t xml:space="preserve">Limiting the tax to apply to ambulatory surgical center services, not </w:t>
      </w:r>
      <w:r w:rsidR="0095020B">
        <w:rPr>
          <w:rFonts w:ascii="Baskerville" w:hAnsi="Baskerville"/>
        </w:rPr>
        <w:t xml:space="preserve">revenue related to </w:t>
      </w:r>
      <w:r>
        <w:rPr>
          <w:rFonts w:ascii="Baskerville" w:hAnsi="Baskerville"/>
        </w:rPr>
        <w:t>equipment and materials required to perform those services;</w:t>
      </w:r>
    </w:p>
    <w:p w14:paraId="4B46C7FA" w14:textId="77777777" w:rsidR="00FF45A0" w:rsidRDefault="00FF45A0" w:rsidP="00882F76">
      <w:pPr>
        <w:pStyle w:val="ListParagraph"/>
        <w:numPr>
          <w:ilvl w:val="0"/>
          <w:numId w:val="38"/>
        </w:numPr>
        <w:spacing w:after="120" w:line="276" w:lineRule="auto"/>
        <w:ind w:right="-187"/>
        <w:contextualSpacing w:val="0"/>
        <w:rPr>
          <w:rFonts w:ascii="Baskerville" w:hAnsi="Baskerville"/>
        </w:rPr>
      </w:pPr>
      <w:r>
        <w:rPr>
          <w:rFonts w:ascii="Baskerville" w:hAnsi="Baskerville"/>
        </w:rPr>
        <w:t>Ensuring a waiver is granted by CMS that maintains a $1 million exemption;</w:t>
      </w:r>
    </w:p>
    <w:p w14:paraId="7572B13C" w14:textId="77777777" w:rsidR="00FF45A0" w:rsidRDefault="00FF45A0" w:rsidP="00882F76">
      <w:pPr>
        <w:pStyle w:val="ListParagraph"/>
        <w:numPr>
          <w:ilvl w:val="0"/>
          <w:numId w:val="38"/>
        </w:numPr>
        <w:spacing w:after="120" w:line="276" w:lineRule="auto"/>
        <w:ind w:right="-187"/>
        <w:contextualSpacing w:val="0"/>
        <w:rPr>
          <w:rFonts w:ascii="Baskerville" w:hAnsi="Baskerville"/>
        </w:rPr>
      </w:pPr>
      <w:r>
        <w:rPr>
          <w:rFonts w:ascii="Baskerville" w:hAnsi="Baskerville"/>
        </w:rPr>
        <w:t xml:space="preserve">Excluding Medicaid and Medicare revenues from the tax; and </w:t>
      </w:r>
    </w:p>
    <w:p w14:paraId="4C064ED2" w14:textId="772C764F" w:rsidR="00FF45A0" w:rsidRDefault="00FF45A0" w:rsidP="00882F76">
      <w:pPr>
        <w:pStyle w:val="ListParagraph"/>
        <w:numPr>
          <w:ilvl w:val="0"/>
          <w:numId w:val="38"/>
        </w:numPr>
        <w:spacing w:after="120" w:line="276" w:lineRule="auto"/>
        <w:ind w:right="-187"/>
        <w:contextualSpacing w:val="0"/>
        <w:rPr>
          <w:rFonts w:ascii="Baskerville" w:hAnsi="Baskerville"/>
        </w:rPr>
      </w:pPr>
      <w:r>
        <w:rPr>
          <w:rFonts w:ascii="Baskerville" w:hAnsi="Baskerville"/>
        </w:rPr>
        <w:t>Reducing the tax rate (</w:t>
      </w:r>
      <w:r w:rsidR="0095020B">
        <w:rPr>
          <w:rFonts w:ascii="Baskerville" w:hAnsi="Baskerville"/>
        </w:rPr>
        <w:t xml:space="preserve">a </w:t>
      </w:r>
      <w:r>
        <w:rPr>
          <w:rFonts w:ascii="Baskerville" w:hAnsi="Baskerville"/>
        </w:rPr>
        <w:t xml:space="preserve">6% </w:t>
      </w:r>
      <w:r w:rsidR="0095020B">
        <w:rPr>
          <w:rFonts w:ascii="Baskerville" w:hAnsi="Baskerville"/>
        </w:rPr>
        <w:t>tax is the</w:t>
      </w:r>
      <w:r>
        <w:rPr>
          <w:rFonts w:ascii="Baskerville" w:hAnsi="Baskerville"/>
        </w:rPr>
        <w:t xml:space="preserve"> highest in the nation). </w:t>
      </w:r>
    </w:p>
    <w:p w14:paraId="28CDD09D" w14:textId="77777777" w:rsidR="007060FD" w:rsidRDefault="007060FD" w:rsidP="007060FD">
      <w:pPr>
        <w:spacing w:line="276" w:lineRule="auto"/>
        <w:ind w:right="-180"/>
        <w:rPr>
          <w:rFonts w:ascii="Baskerville" w:hAnsi="Baskerville"/>
        </w:rPr>
      </w:pPr>
    </w:p>
    <w:p w14:paraId="0ADC219B" w14:textId="77777777" w:rsidR="007060FD" w:rsidRDefault="007060FD" w:rsidP="007060FD">
      <w:pPr>
        <w:spacing w:line="276" w:lineRule="auto"/>
        <w:ind w:right="-180"/>
        <w:rPr>
          <w:rFonts w:ascii="Baskerville" w:hAnsi="Baskerville"/>
        </w:rPr>
      </w:pPr>
    </w:p>
    <w:tbl>
      <w:tblPr>
        <w:tblStyle w:val="TableGrid"/>
        <w:tblW w:w="9991" w:type="dxa"/>
        <w:jc w:val="center"/>
        <w:tblLook w:val="04A0" w:firstRow="1" w:lastRow="0" w:firstColumn="1" w:lastColumn="0" w:noHBand="0" w:noVBand="1"/>
      </w:tblPr>
      <w:tblGrid>
        <w:gridCol w:w="4176"/>
        <w:gridCol w:w="5815"/>
      </w:tblGrid>
      <w:tr w:rsidR="007060FD" w14:paraId="14E61C3B" w14:textId="77777777" w:rsidTr="007060FD">
        <w:trPr>
          <w:trHeight w:val="1086"/>
          <w:jc w:val="center"/>
        </w:trPr>
        <w:tc>
          <w:tcPr>
            <w:tcW w:w="4176" w:type="dxa"/>
          </w:tcPr>
          <w:p w14:paraId="3BBCE7E7" w14:textId="77777777" w:rsidR="007060FD" w:rsidRDefault="007060FD" w:rsidP="00CB231F">
            <w:pPr>
              <w:spacing w:line="276" w:lineRule="auto"/>
              <w:rPr>
                <w:rFonts w:ascii="Baskerville" w:hAnsi="Baskerville" w:cs=" ˘ø◊«‰"/>
                <w:color w:val="000000"/>
              </w:rPr>
            </w:pPr>
            <w:r>
              <w:rPr>
                <w:rFonts w:ascii="Helvetica" w:hAnsi="Helvetica" w:cs="Helvetica"/>
                <w:noProof/>
              </w:rPr>
              <w:drawing>
                <wp:inline distT="0" distB="0" distL="0" distR="0" wp14:anchorId="5AD5C43F" wp14:editId="55D6834C">
                  <wp:extent cx="2504622" cy="609557"/>
                  <wp:effectExtent l="0" t="0" r="1016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9162" cy="610662"/>
                          </a:xfrm>
                          <a:prstGeom prst="rect">
                            <a:avLst/>
                          </a:prstGeom>
                          <a:noFill/>
                          <a:ln>
                            <a:noFill/>
                          </a:ln>
                        </pic:spPr>
                      </pic:pic>
                    </a:graphicData>
                  </a:graphic>
                </wp:inline>
              </w:drawing>
            </w:r>
          </w:p>
        </w:tc>
        <w:tc>
          <w:tcPr>
            <w:tcW w:w="5815" w:type="dxa"/>
          </w:tcPr>
          <w:p w14:paraId="591963CE" w14:textId="77777777" w:rsidR="007060FD" w:rsidRPr="007F6DB4" w:rsidRDefault="007060FD" w:rsidP="00CB231F">
            <w:pPr>
              <w:spacing w:line="276" w:lineRule="auto"/>
              <w:rPr>
                <w:rFonts w:ascii="Baskerville" w:hAnsi="Baskerville" w:cs=" ˘ø◊«‰"/>
                <w:color w:val="000000"/>
                <w:sz w:val="21"/>
                <w:szCs w:val="21"/>
              </w:rPr>
            </w:pPr>
            <w:r w:rsidRPr="007F6DB4">
              <w:rPr>
                <w:rFonts w:ascii="Baskerville" w:hAnsi="Baskerville" w:cs=" ˘ø◊«‰"/>
                <w:color w:val="000000"/>
                <w:sz w:val="21"/>
                <w:szCs w:val="21"/>
              </w:rPr>
              <w:t>Contacts:</w:t>
            </w:r>
          </w:p>
          <w:p w14:paraId="3E16BC57" w14:textId="77777777" w:rsidR="007060FD" w:rsidRPr="007F6DB4" w:rsidRDefault="007060FD" w:rsidP="00CB231F">
            <w:pPr>
              <w:spacing w:line="252" w:lineRule="auto"/>
              <w:rPr>
                <w:rFonts w:ascii="Baskerville" w:hAnsi="Baskerville"/>
                <w:sz w:val="21"/>
                <w:szCs w:val="21"/>
              </w:rPr>
            </w:pPr>
            <w:r w:rsidRPr="007F6DB4">
              <w:rPr>
                <w:rFonts w:ascii="Baskerville" w:hAnsi="Baskerville"/>
                <w:sz w:val="21"/>
                <w:szCs w:val="21"/>
              </w:rPr>
              <w:t xml:space="preserve">Lisa Winkler </w:t>
            </w:r>
            <w:r w:rsidRPr="007F6DB4">
              <w:rPr>
                <w:rFonts w:ascii="Baskerville" w:hAnsi="Baskerville" w:cs="Calibri"/>
                <w:sz w:val="21"/>
                <w:szCs w:val="21"/>
              </w:rPr>
              <w:t xml:space="preserve">- 860.614.6102 or </w:t>
            </w:r>
            <w:hyperlink r:id="rId11" w:history="1">
              <w:r w:rsidRPr="007F6DB4">
                <w:rPr>
                  <w:rFonts w:ascii="Baskerville" w:hAnsi="Baskerville"/>
                  <w:sz w:val="21"/>
                  <w:szCs w:val="21"/>
                </w:rPr>
                <w:t>lisa@grassrootsct.com</w:t>
              </w:r>
            </w:hyperlink>
          </w:p>
          <w:p w14:paraId="09441BAB" w14:textId="77777777" w:rsidR="007060FD" w:rsidRPr="007F6DB4" w:rsidRDefault="007060FD" w:rsidP="00CB231F">
            <w:pPr>
              <w:spacing w:line="252" w:lineRule="auto"/>
              <w:rPr>
                <w:rFonts w:ascii="Baskerville" w:hAnsi="Baskerville" w:cs=" ˘ø◊«‰"/>
                <w:color w:val="000000"/>
                <w:sz w:val="21"/>
                <w:szCs w:val="21"/>
              </w:rPr>
            </w:pPr>
            <w:r w:rsidRPr="007F6DB4">
              <w:rPr>
                <w:rFonts w:ascii="Baskerville" w:hAnsi="Baskerville"/>
                <w:sz w:val="21"/>
                <w:szCs w:val="21"/>
              </w:rPr>
              <w:t xml:space="preserve">Tricia Dinneen Priebe - 203.464.3793 or </w:t>
            </w:r>
            <w:hyperlink r:id="rId12" w:history="1">
              <w:r w:rsidRPr="007F6DB4">
                <w:rPr>
                  <w:rFonts w:ascii="Baskerville" w:hAnsi="Baskerville"/>
                  <w:sz w:val="21"/>
                  <w:szCs w:val="21"/>
                </w:rPr>
                <w:t>tricia@grassrootsct.com</w:t>
              </w:r>
            </w:hyperlink>
          </w:p>
        </w:tc>
      </w:tr>
    </w:tbl>
    <w:p w14:paraId="1D6AE04E" w14:textId="77777777" w:rsidR="007060FD" w:rsidRPr="007060FD" w:rsidRDefault="007060FD" w:rsidP="007060FD">
      <w:pPr>
        <w:spacing w:line="276" w:lineRule="auto"/>
        <w:ind w:right="-180"/>
        <w:rPr>
          <w:rFonts w:ascii="Baskerville" w:hAnsi="Baskerville"/>
        </w:rPr>
      </w:pPr>
    </w:p>
    <w:bookmarkEnd w:id="3"/>
    <w:p w14:paraId="7F2F7AD9" w14:textId="77777777" w:rsidR="00FF45A0" w:rsidRPr="00F3026A" w:rsidRDefault="00FF45A0" w:rsidP="00FF45A0">
      <w:pPr>
        <w:rPr>
          <w:rFonts w:ascii="Baskerville" w:hAnsi="Baskerville"/>
          <w:b/>
          <w:u w:val="single"/>
        </w:rPr>
      </w:pPr>
    </w:p>
    <w:bookmarkEnd w:id="1"/>
    <w:p w14:paraId="0FBC4A39" w14:textId="226B73F1" w:rsidR="00A95FA9" w:rsidRPr="00A95FA9" w:rsidRDefault="00A95FA9" w:rsidP="00FF45A0">
      <w:pPr>
        <w:spacing w:line="276" w:lineRule="auto"/>
        <w:rPr>
          <w:rFonts w:asciiTheme="majorHAnsi" w:eastAsiaTheme="majorEastAsia" w:hAnsiTheme="majorHAnsi" w:cstheme="majorBidi"/>
          <w:b/>
          <w:bCs/>
          <w:color w:val="4F81BD" w:themeColor="accent1"/>
          <w:sz w:val="14"/>
          <w:szCs w:val="32"/>
        </w:rPr>
      </w:pPr>
    </w:p>
    <w:sectPr w:rsidR="00A95FA9" w:rsidRPr="00A95FA9" w:rsidSect="008269B5">
      <w:footerReference w:type="even" r:id="rId13"/>
      <w:footerReference w:type="default" r:id="rId14"/>
      <w:pgSz w:w="12240" w:h="15840"/>
      <w:pgMar w:top="864" w:right="1350" w:bottom="630" w:left="153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6D5B" w14:textId="77777777" w:rsidR="007B2B70" w:rsidRDefault="007B2B70" w:rsidP="00C871D3">
      <w:r>
        <w:separator/>
      </w:r>
    </w:p>
  </w:endnote>
  <w:endnote w:type="continuationSeparator" w:id="0">
    <w:p w14:paraId="68938D12" w14:textId="77777777" w:rsidR="007B2B70" w:rsidRDefault="007B2B70" w:rsidP="00C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Georgia">
    <w:panose1 w:val="020405020504050203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 ˘ø◊«‰">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8AD76" w14:textId="77777777" w:rsidR="0013100B" w:rsidRDefault="0013100B" w:rsidP="00C81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5065" w14:textId="77777777" w:rsidR="0013100B" w:rsidRDefault="0013100B" w:rsidP="00C871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7017" w14:textId="77777777" w:rsidR="0013100B" w:rsidRDefault="0013100B" w:rsidP="000C3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730B">
      <w:rPr>
        <w:rStyle w:val="PageNumber"/>
        <w:noProof/>
      </w:rPr>
      <w:t>2</w:t>
    </w:r>
    <w:r>
      <w:rPr>
        <w:rStyle w:val="PageNumber"/>
      </w:rPr>
      <w:fldChar w:fldCharType="end"/>
    </w:r>
  </w:p>
  <w:p w14:paraId="04490D2C" w14:textId="77777777" w:rsidR="0013100B" w:rsidRDefault="0013100B" w:rsidP="00C871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A2FD5" w14:textId="77777777" w:rsidR="007B2B70" w:rsidRDefault="007B2B70" w:rsidP="00C871D3">
      <w:r>
        <w:separator/>
      </w:r>
    </w:p>
  </w:footnote>
  <w:footnote w:type="continuationSeparator" w:id="0">
    <w:p w14:paraId="0D4B071C" w14:textId="77777777" w:rsidR="007B2B70" w:rsidRDefault="007B2B70" w:rsidP="00C871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950FE"/>
    <w:multiLevelType w:val="hybridMultilevel"/>
    <w:tmpl w:val="1768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20615"/>
    <w:multiLevelType w:val="hybridMultilevel"/>
    <w:tmpl w:val="4404E14A"/>
    <w:lvl w:ilvl="0" w:tplc="75E09A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3B4C6A"/>
    <w:multiLevelType w:val="hybridMultilevel"/>
    <w:tmpl w:val="26BC8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E2A4C"/>
    <w:multiLevelType w:val="hybridMultilevel"/>
    <w:tmpl w:val="C6BA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16B6C"/>
    <w:multiLevelType w:val="hybridMultilevel"/>
    <w:tmpl w:val="3DE88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2C64D6"/>
    <w:multiLevelType w:val="hybridMultilevel"/>
    <w:tmpl w:val="6806158C"/>
    <w:lvl w:ilvl="0" w:tplc="D74E7252">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2D5AF7"/>
    <w:multiLevelType w:val="hybridMultilevel"/>
    <w:tmpl w:val="F29A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90594"/>
    <w:multiLevelType w:val="hybridMultilevel"/>
    <w:tmpl w:val="7AB4C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048F7"/>
    <w:multiLevelType w:val="hybridMultilevel"/>
    <w:tmpl w:val="E1B0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00635"/>
    <w:multiLevelType w:val="hybridMultilevel"/>
    <w:tmpl w:val="4C62C6F6"/>
    <w:lvl w:ilvl="0" w:tplc="4F945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D7DE6"/>
    <w:multiLevelType w:val="hybridMultilevel"/>
    <w:tmpl w:val="570C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E27C6"/>
    <w:multiLevelType w:val="hybridMultilevel"/>
    <w:tmpl w:val="069A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7112E"/>
    <w:multiLevelType w:val="hybridMultilevel"/>
    <w:tmpl w:val="A1F8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460DC"/>
    <w:multiLevelType w:val="hybridMultilevel"/>
    <w:tmpl w:val="523A09AA"/>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77909"/>
    <w:multiLevelType w:val="hybridMultilevel"/>
    <w:tmpl w:val="4C62C6F6"/>
    <w:lvl w:ilvl="0" w:tplc="4F9456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182600"/>
    <w:multiLevelType w:val="hybridMultilevel"/>
    <w:tmpl w:val="105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20A90"/>
    <w:multiLevelType w:val="hybridMultilevel"/>
    <w:tmpl w:val="D47A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76154"/>
    <w:multiLevelType w:val="hybridMultilevel"/>
    <w:tmpl w:val="28EC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020E6"/>
    <w:multiLevelType w:val="hybridMultilevel"/>
    <w:tmpl w:val="18DADBEC"/>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E4DD3"/>
    <w:multiLevelType w:val="hybridMultilevel"/>
    <w:tmpl w:val="CF06C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D403E"/>
    <w:multiLevelType w:val="hybridMultilevel"/>
    <w:tmpl w:val="74F2F292"/>
    <w:lvl w:ilvl="0" w:tplc="D74E725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7780C4D"/>
    <w:multiLevelType w:val="hybridMultilevel"/>
    <w:tmpl w:val="550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10049"/>
    <w:multiLevelType w:val="hybridMultilevel"/>
    <w:tmpl w:val="3C98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667BF"/>
    <w:multiLevelType w:val="hybridMultilevel"/>
    <w:tmpl w:val="5C964FF2"/>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449FD"/>
    <w:multiLevelType w:val="hybridMultilevel"/>
    <w:tmpl w:val="40CEA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F296F"/>
    <w:multiLevelType w:val="hybridMultilevel"/>
    <w:tmpl w:val="8EE2FA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03518"/>
    <w:multiLevelType w:val="hybridMultilevel"/>
    <w:tmpl w:val="992A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409A6"/>
    <w:multiLevelType w:val="hybridMultilevel"/>
    <w:tmpl w:val="E0268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C2323"/>
    <w:multiLevelType w:val="hybridMultilevel"/>
    <w:tmpl w:val="2CDAEF28"/>
    <w:lvl w:ilvl="0" w:tplc="2F4C01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9F2AF9"/>
    <w:multiLevelType w:val="hybridMultilevel"/>
    <w:tmpl w:val="0764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37A2A"/>
    <w:multiLevelType w:val="hybridMultilevel"/>
    <w:tmpl w:val="D73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14058E"/>
    <w:multiLevelType w:val="hybridMultilevel"/>
    <w:tmpl w:val="AACC02C0"/>
    <w:lvl w:ilvl="0" w:tplc="EB303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524A8"/>
    <w:multiLevelType w:val="hybridMultilevel"/>
    <w:tmpl w:val="D0C80722"/>
    <w:lvl w:ilvl="0" w:tplc="D74E7252">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EA6399"/>
    <w:multiLevelType w:val="hybridMultilevel"/>
    <w:tmpl w:val="5A40D3F0"/>
    <w:lvl w:ilvl="0" w:tplc="D74E7252">
      <w:start w:val="3"/>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85651C0"/>
    <w:multiLevelType w:val="hybridMultilevel"/>
    <w:tmpl w:val="FBA2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F404EE"/>
    <w:multiLevelType w:val="hybridMultilevel"/>
    <w:tmpl w:val="A8DEE9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ECD5B28"/>
    <w:multiLevelType w:val="multilevel"/>
    <w:tmpl w:val="DA988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22"/>
  </w:num>
  <w:num w:numId="4">
    <w:abstractNumId w:val="9"/>
  </w:num>
  <w:num w:numId="5">
    <w:abstractNumId w:val="25"/>
  </w:num>
  <w:num w:numId="6">
    <w:abstractNumId w:val="30"/>
  </w:num>
  <w:num w:numId="7">
    <w:abstractNumId w:val="10"/>
  </w:num>
  <w:num w:numId="8">
    <w:abstractNumId w:val="36"/>
  </w:num>
  <w:num w:numId="9">
    <w:abstractNumId w:val="11"/>
  </w:num>
  <w:num w:numId="10">
    <w:abstractNumId w:val="13"/>
  </w:num>
  <w:num w:numId="11">
    <w:abstractNumId w:val="12"/>
  </w:num>
  <w:num w:numId="12">
    <w:abstractNumId w:val="32"/>
  </w:num>
  <w:num w:numId="13">
    <w:abstractNumId w:val="35"/>
  </w:num>
  <w:num w:numId="14">
    <w:abstractNumId w:val="16"/>
  </w:num>
  <w:num w:numId="15">
    <w:abstractNumId w:val="1"/>
  </w:num>
  <w:num w:numId="16">
    <w:abstractNumId w:val="4"/>
  </w:num>
  <w:num w:numId="17">
    <w:abstractNumId w:val="29"/>
  </w:num>
  <w:num w:numId="18">
    <w:abstractNumId w:val="6"/>
  </w:num>
  <w:num w:numId="19">
    <w:abstractNumId w:val="34"/>
  </w:num>
  <w:num w:numId="20">
    <w:abstractNumId w:val="3"/>
  </w:num>
  <w:num w:numId="21">
    <w:abstractNumId w:val="19"/>
  </w:num>
  <w:num w:numId="22">
    <w:abstractNumId w:val="14"/>
  </w:num>
  <w:num w:numId="23">
    <w:abstractNumId w:val="24"/>
  </w:num>
  <w:num w:numId="24">
    <w:abstractNumId w:val="31"/>
  </w:num>
  <w:num w:numId="25">
    <w:abstractNumId w:val="17"/>
  </w:num>
  <w:num w:numId="26">
    <w:abstractNumId w:val="27"/>
  </w:num>
  <w:num w:numId="27">
    <w:abstractNumId w:val="2"/>
  </w:num>
  <w:num w:numId="28">
    <w:abstractNumId w:val="5"/>
  </w:num>
  <w:num w:numId="29">
    <w:abstractNumId w:val="0"/>
  </w:num>
  <w:num w:numId="30">
    <w:abstractNumId w:val="28"/>
  </w:num>
  <w:num w:numId="31">
    <w:abstractNumId w:val="20"/>
  </w:num>
  <w:num w:numId="32">
    <w:abstractNumId w:val="8"/>
  </w:num>
  <w:num w:numId="33">
    <w:abstractNumId w:val="26"/>
  </w:num>
  <w:num w:numId="34">
    <w:abstractNumId w:val="33"/>
  </w:num>
  <w:num w:numId="35">
    <w:abstractNumId w:val="37"/>
  </w:num>
  <w:num w:numId="36">
    <w:abstractNumId w:val="15"/>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62"/>
    <w:rsid w:val="0000495B"/>
    <w:rsid w:val="00007C67"/>
    <w:rsid w:val="000163AB"/>
    <w:rsid w:val="00024F8D"/>
    <w:rsid w:val="00046BBE"/>
    <w:rsid w:val="00052BAB"/>
    <w:rsid w:val="00055AF3"/>
    <w:rsid w:val="00087862"/>
    <w:rsid w:val="000A2BB8"/>
    <w:rsid w:val="000B6E67"/>
    <w:rsid w:val="000C3E09"/>
    <w:rsid w:val="000E1883"/>
    <w:rsid w:val="000E2F4F"/>
    <w:rsid w:val="000F6440"/>
    <w:rsid w:val="00106E20"/>
    <w:rsid w:val="00110660"/>
    <w:rsid w:val="001118C4"/>
    <w:rsid w:val="0013100B"/>
    <w:rsid w:val="00133F25"/>
    <w:rsid w:val="00136683"/>
    <w:rsid w:val="001612E1"/>
    <w:rsid w:val="00161B43"/>
    <w:rsid w:val="0016409A"/>
    <w:rsid w:val="001652F6"/>
    <w:rsid w:val="00166810"/>
    <w:rsid w:val="0019433A"/>
    <w:rsid w:val="00194581"/>
    <w:rsid w:val="001950B3"/>
    <w:rsid w:val="001A3FF3"/>
    <w:rsid w:val="001B4ED6"/>
    <w:rsid w:val="001C12C8"/>
    <w:rsid w:val="001C558A"/>
    <w:rsid w:val="001D0731"/>
    <w:rsid w:val="001D4CE6"/>
    <w:rsid w:val="001D5308"/>
    <w:rsid w:val="001D6A36"/>
    <w:rsid w:val="001D7CD8"/>
    <w:rsid w:val="001E2C45"/>
    <w:rsid w:val="00201AAF"/>
    <w:rsid w:val="00211008"/>
    <w:rsid w:val="002227A8"/>
    <w:rsid w:val="00224187"/>
    <w:rsid w:val="00266E8F"/>
    <w:rsid w:val="0027247C"/>
    <w:rsid w:val="0027541C"/>
    <w:rsid w:val="002809DF"/>
    <w:rsid w:val="0028145A"/>
    <w:rsid w:val="00290087"/>
    <w:rsid w:val="0029176A"/>
    <w:rsid w:val="00297571"/>
    <w:rsid w:val="002A112F"/>
    <w:rsid w:val="002A4941"/>
    <w:rsid w:val="002B40EB"/>
    <w:rsid w:val="002D4017"/>
    <w:rsid w:val="002D513F"/>
    <w:rsid w:val="003143C8"/>
    <w:rsid w:val="00321F65"/>
    <w:rsid w:val="00334FA1"/>
    <w:rsid w:val="00337234"/>
    <w:rsid w:val="0034235E"/>
    <w:rsid w:val="003447B8"/>
    <w:rsid w:val="00355C10"/>
    <w:rsid w:val="0036141A"/>
    <w:rsid w:val="00375345"/>
    <w:rsid w:val="003821F9"/>
    <w:rsid w:val="00382F4A"/>
    <w:rsid w:val="00390901"/>
    <w:rsid w:val="003916CC"/>
    <w:rsid w:val="0039625B"/>
    <w:rsid w:val="003B1C6D"/>
    <w:rsid w:val="003B256B"/>
    <w:rsid w:val="003B56C0"/>
    <w:rsid w:val="003C557A"/>
    <w:rsid w:val="003D3998"/>
    <w:rsid w:val="003E6637"/>
    <w:rsid w:val="003F090A"/>
    <w:rsid w:val="003F6A58"/>
    <w:rsid w:val="003F73A5"/>
    <w:rsid w:val="00405E02"/>
    <w:rsid w:val="00407CAB"/>
    <w:rsid w:val="00410BE1"/>
    <w:rsid w:val="0041541C"/>
    <w:rsid w:val="00420AE3"/>
    <w:rsid w:val="00426F94"/>
    <w:rsid w:val="00427FED"/>
    <w:rsid w:val="004309BC"/>
    <w:rsid w:val="004312AB"/>
    <w:rsid w:val="00432C05"/>
    <w:rsid w:val="00437995"/>
    <w:rsid w:val="004406B9"/>
    <w:rsid w:val="00442858"/>
    <w:rsid w:val="004429DE"/>
    <w:rsid w:val="00444455"/>
    <w:rsid w:val="00452FD6"/>
    <w:rsid w:val="00460BB4"/>
    <w:rsid w:val="00463471"/>
    <w:rsid w:val="00470E53"/>
    <w:rsid w:val="00472741"/>
    <w:rsid w:val="00474C40"/>
    <w:rsid w:val="00495081"/>
    <w:rsid w:val="004A3CC6"/>
    <w:rsid w:val="004B6CBC"/>
    <w:rsid w:val="004C628E"/>
    <w:rsid w:val="004D2102"/>
    <w:rsid w:val="004D3333"/>
    <w:rsid w:val="004E2EEB"/>
    <w:rsid w:val="004E6755"/>
    <w:rsid w:val="005012E4"/>
    <w:rsid w:val="0052173B"/>
    <w:rsid w:val="005560AF"/>
    <w:rsid w:val="00557B99"/>
    <w:rsid w:val="00557D5F"/>
    <w:rsid w:val="00561857"/>
    <w:rsid w:val="00562269"/>
    <w:rsid w:val="00580E2A"/>
    <w:rsid w:val="005855B6"/>
    <w:rsid w:val="005870BB"/>
    <w:rsid w:val="005C01B2"/>
    <w:rsid w:val="005C1D17"/>
    <w:rsid w:val="005C4B5C"/>
    <w:rsid w:val="005E390D"/>
    <w:rsid w:val="005E5ED5"/>
    <w:rsid w:val="00612B84"/>
    <w:rsid w:val="006225F3"/>
    <w:rsid w:val="00630982"/>
    <w:rsid w:val="00630D95"/>
    <w:rsid w:val="00636398"/>
    <w:rsid w:val="0064370E"/>
    <w:rsid w:val="00660472"/>
    <w:rsid w:val="00676C11"/>
    <w:rsid w:val="0069047C"/>
    <w:rsid w:val="00693FCA"/>
    <w:rsid w:val="006A1B60"/>
    <w:rsid w:val="006B6E77"/>
    <w:rsid w:val="006B7ED2"/>
    <w:rsid w:val="006C4AF5"/>
    <w:rsid w:val="006D548D"/>
    <w:rsid w:val="006D6A6F"/>
    <w:rsid w:val="006E3C62"/>
    <w:rsid w:val="006E75D8"/>
    <w:rsid w:val="006F6991"/>
    <w:rsid w:val="007060FD"/>
    <w:rsid w:val="00711F36"/>
    <w:rsid w:val="00726413"/>
    <w:rsid w:val="00730E6A"/>
    <w:rsid w:val="0074019F"/>
    <w:rsid w:val="00746106"/>
    <w:rsid w:val="00757ED6"/>
    <w:rsid w:val="0076730B"/>
    <w:rsid w:val="007745AC"/>
    <w:rsid w:val="00774E8D"/>
    <w:rsid w:val="00776C46"/>
    <w:rsid w:val="00781951"/>
    <w:rsid w:val="00787613"/>
    <w:rsid w:val="00790B45"/>
    <w:rsid w:val="007A584D"/>
    <w:rsid w:val="007A7A64"/>
    <w:rsid w:val="007A7B48"/>
    <w:rsid w:val="007A7CA1"/>
    <w:rsid w:val="007B03D4"/>
    <w:rsid w:val="007B2B70"/>
    <w:rsid w:val="007C6A28"/>
    <w:rsid w:val="007F41E7"/>
    <w:rsid w:val="0080133C"/>
    <w:rsid w:val="008042EE"/>
    <w:rsid w:val="00805E6D"/>
    <w:rsid w:val="00816116"/>
    <w:rsid w:val="00821600"/>
    <w:rsid w:val="008269B5"/>
    <w:rsid w:val="00830031"/>
    <w:rsid w:val="008322E3"/>
    <w:rsid w:val="00843A50"/>
    <w:rsid w:val="00844EB1"/>
    <w:rsid w:val="00852F73"/>
    <w:rsid w:val="00873898"/>
    <w:rsid w:val="00882F76"/>
    <w:rsid w:val="00890274"/>
    <w:rsid w:val="00892226"/>
    <w:rsid w:val="008B12BB"/>
    <w:rsid w:val="008B4C2F"/>
    <w:rsid w:val="008C2AEA"/>
    <w:rsid w:val="008E3EC6"/>
    <w:rsid w:val="008E563F"/>
    <w:rsid w:val="008F7C25"/>
    <w:rsid w:val="00900238"/>
    <w:rsid w:val="009073D6"/>
    <w:rsid w:val="00927B2A"/>
    <w:rsid w:val="00934ECD"/>
    <w:rsid w:val="00942C16"/>
    <w:rsid w:val="0095020B"/>
    <w:rsid w:val="00961B8F"/>
    <w:rsid w:val="009779FF"/>
    <w:rsid w:val="0099342C"/>
    <w:rsid w:val="009A06FB"/>
    <w:rsid w:val="009A5133"/>
    <w:rsid w:val="009B1AA0"/>
    <w:rsid w:val="009B5370"/>
    <w:rsid w:val="009B5659"/>
    <w:rsid w:val="009E261C"/>
    <w:rsid w:val="009F168A"/>
    <w:rsid w:val="009F6649"/>
    <w:rsid w:val="009F7AED"/>
    <w:rsid w:val="00A01B00"/>
    <w:rsid w:val="00A04588"/>
    <w:rsid w:val="00A05722"/>
    <w:rsid w:val="00A10765"/>
    <w:rsid w:val="00A168C2"/>
    <w:rsid w:val="00A213A3"/>
    <w:rsid w:val="00A311C9"/>
    <w:rsid w:val="00A32A8D"/>
    <w:rsid w:val="00A50850"/>
    <w:rsid w:val="00A51846"/>
    <w:rsid w:val="00A5221B"/>
    <w:rsid w:val="00A726AA"/>
    <w:rsid w:val="00A744F6"/>
    <w:rsid w:val="00A8609E"/>
    <w:rsid w:val="00A95FA9"/>
    <w:rsid w:val="00A961BF"/>
    <w:rsid w:val="00AA100A"/>
    <w:rsid w:val="00AB1D7F"/>
    <w:rsid w:val="00AB430F"/>
    <w:rsid w:val="00AF70A5"/>
    <w:rsid w:val="00B13118"/>
    <w:rsid w:val="00B16B25"/>
    <w:rsid w:val="00B303F0"/>
    <w:rsid w:val="00B36044"/>
    <w:rsid w:val="00B42635"/>
    <w:rsid w:val="00B42D52"/>
    <w:rsid w:val="00B43362"/>
    <w:rsid w:val="00B50A36"/>
    <w:rsid w:val="00B52AE5"/>
    <w:rsid w:val="00B6093E"/>
    <w:rsid w:val="00B60C3A"/>
    <w:rsid w:val="00B60D02"/>
    <w:rsid w:val="00B638B6"/>
    <w:rsid w:val="00B71E38"/>
    <w:rsid w:val="00B93229"/>
    <w:rsid w:val="00B97F78"/>
    <w:rsid w:val="00BB08E1"/>
    <w:rsid w:val="00BB2539"/>
    <w:rsid w:val="00BB3564"/>
    <w:rsid w:val="00BC14DA"/>
    <w:rsid w:val="00BC5E1B"/>
    <w:rsid w:val="00BD58C6"/>
    <w:rsid w:val="00BE19AA"/>
    <w:rsid w:val="00C00165"/>
    <w:rsid w:val="00C01C1D"/>
    <w:rsid w:val="00C02145"/>
    <w:rsid w:val="00C047FB"/>
    <w:rsid w:val="00C05C38"/>
    <w:rsid w:val="00C16BFA"/>
    <w:rsid w:val="00C17CC8"/>
    <w:rsid w:val="00C378BD"/>
    <w:rsid w:val="00C4266B"/>
    <w:rsid w:val="00C454E1"/>
    <w:rsid w:val="00C460CC"/>
    <w:rsid w:val="00C512F0"/>
    <w:rsid w:val="00C62F44"/>
    <w:rsid w:val="00C63F94"/>
    <w:rsid w:val="00C71274"/>
    <w:rsid w:val="00C75E7B"/>
    <w:rsid w:val="00C7686C"/>
    <w:rsid w:val="00C81A6D"/>
    <w:rsid w:val="00C85399"/>
    <w:rsid w:val="00C871D3"/>
    <w:rsid w:val="00C950CE"/>
    <w:rsid w:val="00CC1EB9"/>
    <w:rsid w:val="00CD32F6"/>
    <w:rsid w:val="00CD35AD"/>
    <w:rsid w:val="00CD4CC7"/>
    <w:rsid w:val="00D0263A"/>
    <w:rsid w:val="00D04F34"/>
    <w:rsid w:val="00D10C11"/>
    <w:rsid w:val="00D14ADE"/>
    <w:rsid w:val="00D3636E"/>
    <w:rsid w:val="00D41FC9"/>
    <w:rsid w:val="00D478E3"/>
    <w:rsid w:val="00D5409B"/>
    <w:rsid w:val="00D616A5"/>
    <w:rsid w:val="00D76483"/>
    <w:rsid w:val="00D8647A"/>
    <w:rsid w:val="00DA645E"/>
    <w:rsid w:val="00DB27CC"/>
    <w:rsid w:val="00DC7957"/>
    <w:rsid w:val="00DD242B"/>
    <w:rsid w:val="00DD5710"/>
    <w:rsid w:val="00DD656B"/>
    <w:rsid w:val="00DD688F"/>
    <w:rsid w:val="00DF2887"/>
    <w:rsid w:val="00DF2CF3"/>
    <w:rsid w:val="00DF4E9E"/>
    <w:rsid w:val="00E04A3D"/>
    <w:rsid w:val="00E24941"/>
    <w:rsid w:val="00E2738F"/>
    <w:rsid w:val="00E32BD0"/>
    <w:rsid w:val="00E53FE1"/>
    <w:rsid w:val="00E64C0E"/>
    <w:rsid w:val="00E71018"/>
    <w:rsid w:val="00E82315"/>
    <w:rsid w:val="00E91C07"/>
    <w:rsid w:val="00E93ED7"/>
    <w:rsid w:val="00ED6CC0"/>
    <w:rsid w:val="00ED7D34"/>
    <w:rsid w:val="00EE2AFC"/>
    <w:rsid w:val="00EE3438"/>
    <w:rsid w:val="00EF1B6B"/>
    <w:rsid w:val="00EF4917"/>
    <w:rsid w:val="00EF775A"/>
    <w:rsid w:val="00F13B0B"/>
    <w:rsid w:val="00F17335"/>
    <w:rsid w:val="00F17CFD"/>
    <w:rsid w:val="00F22036"/>
    <w:rsid w:val="00F3026A"/>
    <w:rsid w:val="00F3379F"/>
    <w:rsid w:val="00F363B9"/>
    <w:rsid w:val="00F37B23"/>
    <w:rsid w:val="00F4006C"/>
    <w:rsid w:val="00F40DFB"/>
    <w:rsid w:val="00F431D8"/>
    <w:rsid w:val="00F44B18"/>
    <w:rsid w:val="00F66E69"/>
    <w:rsid w:val="00F6770F"/>
    <w:rsid w:val="00F73621"/>
    <w:rsid w:val="00F76344"/>
    <w:rsid w:val="00F80877"/>
    <w:rsid w:val="00F82587"/>
    <w:rsid w:val="00F84362"/>
    <w:rsid w:val="00F9314A"/>
    <w:rsid w:val="00FA77DA"/>
    <w:rsid w:val="00FB7E25"/>
    <w:rsid w:val="00FC16EB"/>
    <w:rsid w:val="00FC2FCA"/>
    <w:rsid w:val="00FC7E21"/>
    <w:rsid w:val="00FD5EE9"/>
    <w:rsid w:val="00FE2661"/>
    <w:rsid w:val="00FE2C68"/>
    <w:rsid w:val="00FF45A0"/>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F51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90A"/>
  </w:style>
  <w:style w:type="paragraph" w:styleId="Heading1">
    <w:name w:val="heading 1"/>
    <w:basedOn w:val="Normal"/>
    <w:next w:val="Normal"/>
    <w:link w:val="Heading1Char"/>
    <w:uiPriority w:val="9"/>
    <w:qFormat/>
    <w:rsid w:val="000878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7957"/>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CC1E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1E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957"/>
    <w:rPr>
      <w:rFonts w:asciiTheme="majorHAnsi" w:eastAsiaTheme="majorEastAsia" w:hAnsiTheme="majorHAnsi" w:cstheme="majorBidi"/>
      <w:b/>
      <w:bCs/>
      <w:color w:val="4F81BD" w:themeColor="accent1"/>
      <w:sz w:val="32"/>
      <w:szCs w:val="32"/>
    </w:rPr>
  </w:style>
  <w:style w:type="character" w:customStyle="1" w:styleId="Heading1Char">
    <w:name w:val="Heading 1 Char"/>
    <w:basedOn w:val="DefaultParagraphFont"/>
    <w:link w:val="Heading1"/>
    <w:uiPriority w:val="9"/>
    <w:rsid w:val="000878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E1883"/>
    <w:pPr>
      <w:ind w:left="720"/>
      <w:contextualSpacing/>
    </w:pPr>
  </w:style>
  <w:style w:type="table" w:styleId="TableGrid">
    <w:name w:val="Table Grid"/>
    <w:basedOn w:val="TableNormal"/>
    <w:uiPriority w:val="59"/>
    <w:rsid w:val="000E1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1883"/>
    <w:rPr>
      <w:sz w:val="18"/>
      <w:szCs w:val="18"/>
    </w:rPr>
  </w:style>
  <w:style w:type="paragraph" w:styleId="CommentText">
    <w:name w:val="annotation text"/>
    <w:basedOn w:val="Normal"/>
    <w:link w:val="CommentTextChar"/>
    <w:uiPriority w:val="99"/>
    <w:semiHidden/>
    <w:unhideWhenUsed/>
    <w:rsid w:val="000E1883"/>
  </w:style>
  <w:style w:type="character" w:customStyle="1" w:styleId="CommentTextChar">
    <w:name w:val="Comment Text Char"/>
    <w:basedOn w:val="DefaultParagraphFont"/>
    <w:link w:val="CommentText"/>
    <w:uiPriority w:val="99"/>
    <w:semiHidden/>
    <w:rsid w:val="000E1883"/>
  </w:style>
  <w:style w:type="paragraph" w:styleId="BalloonText">
    <w:name w:val="Balloon Text"/>
    <w:basedOn w:val="Normal"/>
    <w:link w:val="BalloonTextChar"/>
    <w:uiPriority w:val="99"/>
    <w:semiHidden/>
    <w:unhideWhenUsed/>
    <w:rsid w:val="000E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83"/>
    <w:rPr>
      <w:rFonts w:ascii="Lucida Grande" w:hAnsi="Lucida Grande" w:cs="Lucida Grande"/>
      <w:sz w:val="18"/>
      <w:szCs w:val="18"/>
    </w:rPr>
  </w:style>
  <w:style w:type="character" w:customStyle="1" w:styleId="Heading3Char">
    <w:name w:val="Heading 3 Char"/>
    <w:basedOn w:val="DefaultParagraphFont"/>
    <w:link w:val="Heading3"/>
    <w:uiPriority w:val="9"/>
    <w:rsid w:val="00CC1E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1EB9"/>
    <w:rPr>
      <w:rFonts w:asciiTheme="majorHAnsi" w:eastAsiaTheme="majorEastAsia" w:hAnsiTheme="majorHAnsi" w:cstheme="majorBidi"/>
      <w:b/>
      <w:bCs/>
      <w:i/>
      <w:iCs/>
      <w:color w:val="4F81BD" w:themeColor="accent1"/>
    </w:rPr>
  </w:style>
  <w:style w:type="paragraph" w:styleId="NoSpacing">
    <w:name w:val="No Spacing"/>
    <w:uiPriority w:val="1"/>
    <w:qFormat/>
    <w:rsid w:val="00CC1EB9"/>
  </w:style>
  <w:style w:type="character" w:styleId="Hyperlink">
    <w:name w:val="Hyperlink"/>
    <w:basedOn w:val="DefaultParagraphFont"/>
    <w:uiPriority w:val="99"/>
    <w:unhideWhenUsed/>
    <w:rsid w:val="008C2AEA"/>
    <w:rPr>
      <w:color w:val="0000FF" w:themeColor="hyperlink"/>
      <w:u w:val="single"/>
    </w:rPr>
  </w:style>
  <w:style w:type="character" w:styleId="FollowedHyperlink">
    <w:name w:val="FollowedHyperlink"/>
    <w:basedOn w:val="DefaultParagraphFont"/>
    <w:uiPriority w:val="99"/>
    <w:semiHidden/>
    <w:unhideWhenUsed/>
    <w:rsid w:val="008C2AEA"/>
    <w:rPr>
      <w:color w:val="800080" w:themeColor="followedHyperlink"/>
      <w:u w:val="single"/>
    </w:rPr>
  </w:style>
  <w:style w:type="paragraph" w:styleId="Footer">
    <w:name w:val="footer"/>
    <w:basedOn w:val="Normal"/>
    <w:link w:val="FooterChar"/>
    <w:uiPriority w:val="99"/>
    <w:unhideWhenUsed/>
    <w:rsid w:val="00C871D3"/>
    <w:pPr>
      <w:tabs>
        <w:tab w:val="center" w:pos="4320"/>
        <w:tab w:val="right" w:pos="8640"/>
      </w:tabs>
    </w:pPr>
  </w:style>
  <w:style w:type="character" w:customStyle="1" w:styleId="FooterChar">
    <w:name w:val="Footer Char"/>
    <w:basedOn w:val="DefaultParagraphFont"/>
    <w:link w:val="Footer"/>
    <w:uiPriority w:val="99"/>
    <w:rsid w:val="00C871D3"/>
  </w:style>
  <w:style w:type="character" w:styleId="PageNumber">
    <w:name w:val="page number"/>
    <w:basedOn w:val="DefaultParagraphFont"/>
    <w:uiPriority w:val="99"/>
    <w:semiHidden/>
    <w:unhideWhenUsed/>
    <w:rsid w:val="00C871D3"/>
  </w:style>
  <w:style w:type="paragraph" w:styleId="TOCHeading">
    <w:name w:val="TOC Heading"/>
    <w:basedOn w:val="Heading1"/>
    <w:next w:val="Normal"/>
    <w:uiPriority w:val="39"/>
    <w:unhideWhenUsed/>
    <w:qFormat/>
    <w:rsid w:val="001C12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C5E1B"/>
    <w:pPr>
      <w:tabs>
        <w:tab w:val="left" w:pos="8910"/>
      </w:tabs>
      <w:spacing w:before="120" w:line="276" w:lineRule="auto"/>
      <w:ind w:left="720"/>
    </w:pPr>
    <w:rPr>
      <w:rFonts w:asciiTheme="majorHAnsi" w:hAnsiTheme="majorHAnsi"/>
      <w:b/>
      <w:color w:val="548DD4"/>
    </w:rPr>
  </w:style>
  <w:style w:type="paragraph" w:styleId="TOC2">
    <w:name w:val="toc 2"/>
    <w:basedOn w:val="Normal"/>
    <w:next w:val="Normal"/>
    <w:autoRedefine/>
    <w:uiPriority w:val="39"/>
    <w:unhideWhenUsed/>
    <w:rsid w:val="009F168A"/>
    <w:pPr>
      <w:tabs>
        <w:tab w:val="left" w:pos="8910"/>
      </w:tabs>
      <w:ind w:left="720"/>
    </w:pPr>
    <w:rPr>
      <w:sz w:val="22"/>
      <w:szCs w:val="22"/>
    </w:rPr>
  </w:style>
  <w:style w:type="paragraph" w:styleId="TOC3">
    <w:name w:val="toc 3"/>
    <w:basedOn w:val="Normal"/>
    <w:next w:val="Normal"/>
    <w:autoRedefine/>
    <w:uiPriority w:val="39"/>
    <w:unhideWhenUsed/>
    <w:rsid w:val="00F431D8"/>
    <w:pPr>
      <w:tabs>
        <w:tab w:val="left" w:pos="8820"/>
        <w:tab w:val="right" w:leader="dot" w:pos="9260"/>
      </w:tabs>
      <w:spacing w:line="276" w:lineRule="auto"/>
      <w:ind w:left="720"/>
    </w:pPr>
    <w:rPr>
      <w:i/>
      <w:sz w:val="22"/>
      <w:szCs w:val="22"/>
    </w:rPr>
  </w:style>
  <w:style w:type="paragraph" w:styleId="TOC4">
    <w:name w:val="toc 4"/>
    <w:basedOn w:val="Normal"/>
    <w:next w:val="Normal"/>
    <w:autoRedefine/>
    <w:uiPriority w:val="39"/>
    <w:semiHidden/>
    <w:unhideWhenUsed/>
    <w:rsid w:val="001C12C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C12C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C12C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C12C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C12C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C12C8"/>
    <w:pPr>
      <w:pBdr>
        <w:between w:val="double" w:sz="6" w:space="0" w:color="auto"/>
      </w:pBdr>
      <w:ind w:left="1680"/>
    </w:pPr>
    <w:rPr>
      <w:sz w:val="20"/>
      <w:szCs w:val="20"/>
    </w:rPr>
  </w:style>
  <w:style w:type="paragraph" w:styleId="Header">
    <w:name w:val="header"/>
    <w:basedOn w:val="Normal"/>
    <w:link w:val="HeaderChar"/>
    <w:uiPriority w:val="99"/>
    <w:unhideWhenUsed/>
    <w:rsid w:val="004E2EEB"/>
    <w:pPr>
      <w:tabs>
        <w:tab w:val="center" w:pos="4320"/>
        <w:tab w:val="right" w:pos="8640"/>
      </w:tabs>
    </w:pPr>
  </w:style>
  <w:style w:type="character" w:customStyle="1" w:styleId="HeaderChar">
    <w:name w:val="Header Char"/>
    <w:basedOn w:val="DefaultParagraphFont"/>
    <w:link w:val="Header"/>
    <w:uiPriority w:val="99"/>
    <w:rsid w:val="004E2EEB"/>
  </w:style>
  <w:style w:type="paragraph" w:styleId="NormalWeb">
    <w:name w:val="Normal (Web)"/>
    <w:basedOn w:val="Normal"/>
    <w:uiPriority w:val="99"/>
    <w:semiHidden/>
    <w:unhideWhenUsed/>
    <w:rsid w:val="00F763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2858"/>
    <w:rPr>
      <w:b/>
      <w:bCs/>
      <w:sz w:val="20"/>
      <w:szCs w:val="20"/>
    </w:rPr>
  </w:style>
  <w:style w:type="character" w:customStyle="1" w:styleId="CommentSubjectChar">
    <w:name w:val="Comment Subject Char"/>
    <w:basedOn w:val="CommentTextChar"/>
    <w:link w:val="CommentSubject"/>
    <w:uiPriority w:val="99"/>
    <w:semiHidden/>
    <w:rsid w:val="00442858"/>
    <w:rPr>
      <w:b/>
      <w:bCs/>
      <w:sz w:val="20"/>
      <w:szCs w:val="20"/>
    </w:rPr>
  </w:style>
  <w:style w:type="paragraph" w:styleId="Revision">
    <w:name w:val="Revision"/>
    <w:hidden/>
    <w:uiPriority w:val="99"/>
    <w:semiHidden/>
    <w:rsid w:val="0043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9190">
      <w:bodyDiv w:val="1"/>
      <w:marLeft w:val="0"/>
      <w:marRight w:val="0"/>
      <w:marTop w:val="0"/>
      <w:marBottom w:val="0"/>
      <w:divBdr>
        <w:top w:val="none" w:sz="0" w:space="0" w:color="auto"/>
        <w:left w:val="none" w:sz="0" w:space="0" w:color="auto"/>
        <w:bottom w:val="none" w:sz="0" w:space="0" w:color="auto"/>
        <w:right w:val="none" w:sz="0" w:space="0" w:color="auto"/>
      </w:divBdr>
      <w:divsChild>
        <w:div w:id="388111379">
          <w:marLeft w:val="0"/>
          <w:marRight w:val="0"/>
          <w:marTop w:val="0"/>
          <w:marBottom w:val="0"/>
          <w:divBdr>
            <w:top w:val="none" w:sz="0" w:space="0" w:color="auto"/>
            <w:left w:val="none" w:sz="0" w:space="0" w:color="auto"/>
            <w:bottom w:val="none" w:sz="0" w:space="0" w:color="auto"/>
            <w:right w:val="none" w:sz="0" w:space="0" w:color="auto"/>
          </w:divBdr>
          <w:divsChild>
            <w:div w:id="1218856078">
              <w:marLeft w:val="0"/>
              <w:marRight w:val="0"/>
              <w:marTop w:val="0"/>
              <w:marBottom w:val="0"/>
              <w:divBdr>
                <w:top w:val="none" w:sz="0" w:space="0" w:color="auto"/>
                <w:left w:val="none" w:sz="0" w:space="0" w:color="auto"/>
                <w:bottom w:val="none" w:sz="0" w:space="0" w:color="auto"/>
                <w:right w:val="none" w:sz="0" w:space="0" w:color="auto"/>
              </w:divBdr>
              <w:divsChild>
                <w:div w:id="1218587102">
                  <w:marLeft w:val="0"/>
                  <w:marRight w:val="0"/>
                  <w:marTop w:val="0"/>
                  <w:marBottom w:val="0"/>
                  <w:divBdr>
                    <w:top w:val="none" w:sz="0" w:space="0" w:color="auto"/>
                    <w:left w:val="none" w:sz="0" w:space="0" w:color="auto"/>
                    <w:bottom w:val="none" w:sz="0" w:space="0" w:color="auto"/>
                    <w:right w:val="none" w:sz="0" w:space="0" w:color="auto"/>
                  </w:divBdr>
                  <w:divsChild>
                    <w:div w:id="347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4327">
      <w:bodyDiv w:val="1"/>
      <w:marLeft w:val="0"/>
      <w:marRight w:val="0"/>
      <w:marTop w:val="0"/>
      <w:marBottom w:val="0"/>
      <w:divBdr>
        <w:top w:val="none" w:sz="0" w:space="0" w:color="auto"/>
        <w:left w:val="none" w:sz="0" w:space="0" w:color="auto"/>
        <w:bottom w:val="none" w:sz="0" w:space="0" w:color="auto"/>
        <w:right w:val="none" w:sz="0" w:space="0" w:color="auto"/>
      </w:divBdr>
      <w:divsChild>
        <w:div w:id="834415929">
          <w:marLeft w:val="0"/>
          <w:marRight w:val="0"/>
          <w:marTop w:val="0"/>
          <w:marBottom w:val="0"/>
          <w:divBdr>
            <w:top w:val="none" w:sz="0" w:space="0" w:color="auto"/>
            <w:left w:val="none" w:sz="0" w:space="0" w:color="auto"/>
            <w:bottom w:val="none" w:sz="0" w:space="0" w:color="auto"/>
            <w:right w:val="none" w:sz="0" w:space="0" w:color="auto"/>
          </w:divBdr>
          <w:divsChild>
            <w:div w:id="614099256">
              <w:marLeft w:val="0"/>
              <w:marRight w:val="0"/>
              <w:marTop w:val="0"/>
              <w:marBottom w:val="0"/>
              <w:divBdr>
                <w:top w:val="none" w:sz="0" w:space="0" w:color="auto"/>
                <w:left w:val="none" w:sz="0" w:space="0" w:color="auto"/>
                <w:bottom w:val="none" w:sz="0" w:space="0" w:color="auto"/>
                <w:right w:val="none" w:sz="0" w:space="0" w:color="auto"/>
              </w:divBdr>
              <w:divsChild>
                <w:div w:id="1621298428">
                  <w:marLeft w:val="0"/>
                  <w:marRight w:val="0"/>
                  <w:marTop w:val="0"/>
                  <w:marBottom w:val="0"/>
                  <w:divBdr>
                    <w:top w:val="none" w:sz="0" w:space="0" w:color="auto"/>
                    <w:left w:val="none" w:sz="0" w:space="0" w:color="auto"/>
                    <w:bottom w:val="none" w:sz="0" w:space="0" w:color="auto"/>
                    <w:right w:val="none" w:sz="0" w:space="0" w:color="auto"/>
                  </w:divBdr>
                  <w:divsChild>
                    <w:div w:id="3862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78684">
      <w:bodyDiv w:val="1"/>
      <w:marLeft w:val="0"/>
      <w:marRight w:val="0"/>
      <w:marTop w:val="0"/>
      <w:marBottom w:val="0"/>
      <w:divBdr>
        <w:top w:val="none" w:sz="0" w:space="0" w:color="auto"/>
        <w:left w:val="none" w:sz="0" w:space="0" w:color="auto"/>
        <w:bottom w:val="none" w:sz="0" w:space="0" w:color="auto"/>
        <w:right w:val="none" w:sz="0" w:space="0" w:color="auto"/>
      </w:divBdr>
      <w:divsChild>
        <w:div w:id="1486438262">
          <w:marLeft w:val="0"/>
          <w:marRight w:val="0"/>
          <w:marTop w:val="0"/>
          <w:marBottom w:val="0"/>
          <w:divBdr>
            <w:top w:val="none" w:sz="0" w:space="0" w:color="auto"/>
            <w:left w:val="none" w:sz="0" w:space="0" w:color="auto"/>
            <w:bottom w:val="none" w:sz="0" w:space="0" w:color="auto"/>
            <w:right w:val="none" w:sz="0" w:space="0" w:color="auto"/>
          </w:divBdr>
          <w:divsChild>
            <w:div w:id="1549490027">
              <w:marLeft w:val="0"/>
              <w:marRight w:val="0"/>
              <w:marTop w:val="0"/>
              <w:marBottom w:val="0"/>
              <w:divBdr>
                <w:top w:val="none" w:sz="0" w:space="0" w:color="auto"/>
                <w:left w:val="none" w:sz="0" w:space="0" w:color="auto"/>
                <w:bottom w:val="none" w:sz="0" w:space="0" w:color="auto"/>
                <w:right w:val="none" w:sz="0" w:space="0" w:color="auto"/>
              </w:divBdr>
              <w:divsChild>
                <w:div w:id="4035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2228">
      <w:bodyDiv w:val="1"/>
      <w:marLeft w:val="0"/>
      <w:marRight w:val="0"/>
      <w:marTop w:val="0"/>
      <w:marBottom w:val="0"/>
      <w:divBdr>
        <w:top w:val="none" w:sz="0" w:space="0" w:color="auto"/>
        <w:left w:val="none" w:sz="0" w:space="0" w:color="auto"/>
        <w:bottom w:val="none" w:sz="0" w:space="0" w:color="auto"/>
        <w:right w:val="none" w:sz="0" w:space="0" w:color="auto"/>
      </w:divBdr>
      <w:divsChild>
        <w:div w:id="1592928221">
          <w:marLeft w:val="0"/>
          <w:marRight w:val="0"/>
          <w:marTop w:val="0"/>
          <w:marBottom w:val="0"/>
          <w:divBdr>
            <w:top w:val="none" w:sz="0" w:space="0" w:color="auto"/>
            <w:left w:val="none" w:sz="0" w:space="0" w:color="auto"/>
            <w:bottom w:val="none" w:sz="0" w:space="0" w:color="auto"/>
            <w:right w:val="none" w:sz="0" w:space="0" w:color="auto"/>
          </w:divBdr>
          <w:divsChild>
            <w:div w:id="2111006760">
              <w:marLeft w:val="0"/>
              <w:marRight w:val="0"/>
              <w:marTop w:val="0"/>
              <w:marBottom w:val="0"/>
              <w:divBdr>
                <w:top w:val="none" w:sz="0" w:space="0" w:color="auto"/>
                <w:left w:val="none" w:sz="0" w:space="0" w:color="auto"/>
                <w:bottom w:val="none" w:sz="0" w:space="0" w:color="auto"/>
                <w:right w:val="none" w:sz="0" w:space="0" w:color="auto"/>
              </w:divBdr>
              <w:divsChild>
                <w:div w:id="1179127021">
                  <w:marLeft w:val="0"/>
                  <w:marRight w:val="0"/>
                  <w:marTop w:val="0"/>
                  <w:marBottom w:val="0"/>
                  <w:divBdr>
                    <w:top w:val="none" w:sz="0" w:space="0" w:color="auto"/>
                    <w:left w:val="none" w:sz="0" w:space="0" w:color="auto"/>
                    <w:bottom w:val="none" w:sz="0" w:space="0" w:color="auto"/>
                    <w:right w:val="none" w:sz="0" w:space="0" w:color="auto"/>
                  </w:divBdr>
                  <w:divsChild>
                    <w:div w:id="7436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3912">
      <w:bodyDiv w:val="1"/>
      <w:marLeft w:val="0"/>
      <w:marRight w:val="0"/>
      <w:marTop w:val="0"/>
      <w:marBottom w:val="0"/>
      <w:divBdr>
        <w:top w:val="none" w:sz="0" w:space="0" w:color="auto"/>
        <w:left w:val="none" w:sz="0" w:space="0" w:color="auto"/>
        <w:bottom w:val="none" w:sz="0" w:space="0" w:color="auto"/>
        <w:right w:val="none" w:sz="0" w:space="0" w:color="auto"/>
      </w:divBdr>
      <w:divsChild>
        <w:div w:id="125202500">
          <w:marLeft w:val="0"/>
          <w:marRight w:val="0"/>
          <w:marTop w:val="0"/>
          <w:marBottom w:val="0"/>
          <w:divBdr>
            <w:top w:val="none" w:sz="0" w:space="0" w:color="auto"/>
            <w:left w:val="none" w:sz="0" w:space="0" w:color="auto"/>
            <w:bottom w:val="none" w:sz="0" w:space="0" w:color="auto"/>
            <w:right w:val="none" w:sz="0" w:space="0" w:color="auto"/>
          </w:divBdr>
          <w:divsChild>
            <w:div w:id="1971862669">
              <w:marLeft w:val="0"/>
              <w:marRight w:val="0"/>
              <w:marTop w:val="0"/>
              <w:marBottom w:val="0"/>
              <w:divBdr>
                <w:top w:val="none" w:sz="0" w:space="0" w:color="auto"/>
                <w:left w:val="none" w:sz="0" w:space="0" w:color="auto"/>
                <w:bottom w:val="none" w:sz="0" w:space="0" w:color="auto"/>
                <w:right w:val="none" w:sz="0" w:space="0" w:color="auto"/>
              </w:divBdr>
              <w:divsChild>
                <w:div w:id="1054736867">
                  <w:marLeft w:val="0"/>
                  <w:marRight w:val="0"/>
                  <w:marTop w:val="0"/>
                  <w:marBottom w:val="0"/>
                  <w:divBdr>
                    <w:top w:val="none" w:sz="0" w:space="0" w:color="auto"/>
                    <w:left w:val="none" w:sz="0" w:space="0" w:color="auto"/>
                    <w:bottom w:val="none" w:sz="0" w:space="0" w:color="auto"/>
                    <w:right w:val="none" w:sz="0" w:space="0" w:color="auto"/>
                  </w:divBdr>
                  <w:divsChild>
                    <w:div w:id="5922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sa@grassrootsct.com" TargetMode="External"/><Relationship Id="rId12" Type="http://schemas.openxmlformats.org/officeDocument/2006/relationships/hyperlink" Target="mailto:tricia@grassrootsct.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2.cbia.com/ieb/ag/medical/zpdf/PreferredTreatmentSites/ConnectiCare/Preferred%20Treatment_OutPatient.pdf"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3F62-0375-C04A-8D7B-00F0C86A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Divigard</dc:creator>
  <cp:keywords/>
  <dc:description/>
  <cp:lastModifiedBy>Christina Divigard</cp:lastModifiedBy>
  <cp:revision>8</cp:revision>
  <cp:lastPrinted>2015-10-12T19:36:00Z</cp:lastPrinted>
  <dcterms:created xsi:type="dcterms:W3CDTF">2018-03-26T23:13:00Z</dcterms:created>
  <dcterms:modified xsi:type="dcterms:W3CDTF">2018-05-03T19:21:00Z</dcterms:modified>
  <cp:category/>
</cp:coreProperties>
</file>